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8E" w:rsidRPr="00BE3D54" w:rsidRDefault="00D20861" w:rsidP="00D20861">
      <w:pPr>
        <w:spacing w:line="360" w:lineRule="auto"/>
        <w:rPr>
          <w:rFonts w:asciiTheme="minorEastAsia" w:hAnsiTheme="minorEastAsia"/>
          <w:b/>
          <w:sz w:val="30"/>
          <w:szCs w:val="30"/>
        </w:rPr>
      </w:pPr>
      <w:r w:rsidRPr="00BE3D54">
        <w:rPr>
          <w:rFonts w:asciiTheme="minorEastAsia" w:hAnsiTheme="minorEastAsia" w:hint="eastAsia"/>
          <w:b/>
          <w:sz w:val="30"/>
          <w:szCs w:val="30"/>
        </w:rPr>
        <w:t>动车组和机车牵引与控制国家重点实验室</w:t>
      </w:r>
      <w:r w:rsidR="0061288E" w:rsidRPr="00BE3D54">
        <w:rPr>
          <w:rFonts w:asciiTheme="minorEastAsia" w:hAnsiTheme="minorEastAsia" w:hint="eastAsia"/>
          <w:b/>
          <w:sz w:val="30"/>
          <w:szCs w:val="30"/>
        </w:rPr>
        <w:t>开放课题申请指南</w:t>
      </w:r>
    </w:p>
    <w:p w:rsidR="0061288E" w:rsidRPr="00D20861" w:rsidRDefault="0061288E" w:rsidP="00D20861">
      <w:pPr>
        <w:spacing w:line="360" w:lineRule="auto"/>
        <w:jc w:val="left"/>
        <w:rPr>
          <w:rFonts w:asciiTheme="minorEastAsia" w:hAnsiTheme="minorEastAsia"/>
          <w:sz w:val="24"/>
          <w:szCs w:val="24"/>
        </w:rPr>
      </w:pPr>
    </w:p>
    <w:p w:rsidR="0061288E" w:rsidRPr="00BE3D54" w:rsidRDefault="0061288E" w:rsidP="00D20861">
      <w:pPr>
        <w:spacing w:line="360" w:lineRule="auto"/>
        <w:jc w:val="left"/>
        <w:rPr>
          <w:rFonts w:asciiTheme="majorEastAsia" w:eastAsiaTheme="majorEastAsia" w:hAnsiTheme="majorEastAsia"/>
          <w:sz w:val="24"/>
          <w:szCs w:val="24"/>
        </w:rPr>
      </w:pPr>
      <w:r w:rsidRPr="00D20861">
        <w:rPr>
          <w:rFonts w:asciiTheme="minorEastAsia" w:hAnsiTheme="minorEastAsia" w:hint="eastAsia"/>
          <w:sz w:val="24"/>
          <w:szCs w:val="24"/>
        </w:rPr>
        <w:t xml:space="preserve">　　</w:t>
      </w:r>
      <w:r w:rsidRPr="00BE3D54">
        <w:rPr>
          <w:rFonts w:asciiTheme="majorEastAsia" w:eastAsiaTheme="majorEastAsia" w:hAnsiTheme="majorEastAsia" w:hint="eastAsia"/>
          <w:sz w:val="24"/>
          <w:szCs w:val="24"/>
        </w:rPr>
        <w:t>根据20</w:t>
      </w:r>
      <w:r w:rsidR="00260BEE" w:rsidRPr="00BE3D54">
        <w:rPr>
          <w:rFonts w:asciiTheme="majorEastAsia" w:eastAsiaTheme="majorEastAsia" w:hAnsiTheme="majorEastAsia" w:hint="eastAsia"/>
          <w:sz w:val="24"/>
          <w:szCs w:val="24"/>
        </w:rPr>
        <w:t>17</w:t>
      </w:r>
      <w:r w:rsidRPr="00BE3D54">
        <w:rPr>
          <w:rFonts w:asciiTheme="majorEastAsia" w:eastAsiaTheme="majorEastAsia" w:hAnsiTheme="majorEastAsia" w:hint="eastAsia"/>
          <w:sz w:val="24"/>
          <w:szCs w:val="24"/>
        </w:rPr>
        <w:t>年度</w:t>
      </w:r>
      <w:r w:rsidR="00D20861" w:rsidRPr="00BE3D54">
        <w:rPr>
          <w:rFonts w:asciiTheme="majorEastAsia" w:eastAsiaTheme="majorEastAsia" w:hAnsiTheme="majorEastAsia" w:hint="eastAsia"/>
          <w:sz w:val="24"/>
          <w:szCs w:val="24"/>
        </w:rPr>
        <w:t>动车组和机车牵引与控制国家重点实验室</w:t>
      </w:r>
      <w:r w:rsidRPr="00BE3D54">
        <w:rPr>
          <w:rFonts w:asciiTheme="majorEastAsia" w:eastAsiaTheme="majorEastAsia" w:hAnsiTheme="majorEastAsia" w:hint="eastAsia"/>
          <w:sz w:val="24"/>
          <w:szCs w:val="24"/>
        </w:rPr>
        <w:t>应用研究项目工作方案，本着“开放、流动、联合、竞争”的原则，向国内外研究人员开放，并设立实验室开放研究课题，发布课题申请指南，吸引和聚集国内外高水平科技工作者来实验室开展合作研究和学术交流。现公布20</w:t>
      </w:r>
      <w:r w:rsidR="00260BEE" w:rsidRPr="00BE3D54">
        <w:rPr>
          <w:rFonts w:asciiTheme="majorEastAsia" w:eastAsiaTheme="majorEastAsia" w:hAnsiTheme="majorEastAsia" w:hint="eastAsia"/>
          <w:sz w:val="24"/>
          <w:szCs w:val="24"/>
        </w:rPr>
        <w:t>17</w:t>
      </w:r>
      <w:r w:rsidRPr="00BE3D54">
        <w:rPr>
          <w:rFonts w:asciiTheme="majorEastAsia" w:eastAsiaTheme="majorEastAsia" w:hAnsiTheme="majorEastAsia" w:hint="eastAsia"/>
          <w:sz w:val="24"/>
          <w:szCs w:val="24"/>
        </w:rPr>
        <w:t>年度</w:t>
      </w:r>
      <w:r w:rsidR="00D20861" w:rsidRPr="00BE3D54">
        <w:rPr>
          <w:rFonts w:asciiTheme="majorEastAsia" w:eastAsiaTheme="majorEastAsia" w:hAnsiTheme="majorEastAsia" w:hint="eastAsia"/>
          <w:sz w:val="24"/>
          <w:szCs w:val="24"/>
        </w:rPr>
        <w:t>动车组和机车牵引与控制国家重点实验室</w:t>
      </w:r>
      <w:r w:rsidRPr="00BE3D54">
        <w:rPr>
          <w:rFonts w:asciiTheme="majorEastAsia" w:eastAsiaTheme="majorEastAsia" w:hAnsiTheme="majorEastAsia" w:hint="eastAsia"/>
          <w:sz w:val="24"/>
          <w:szCs w:val="24"/>
        </w:rPr>
        <w:t>开放课题申请指南如下：</w:t>
      </w:r>
    </w:p>
    <w:p w:rsidR="0061288E" w:rsidRPr="00BE3D54" w:rsidRDefault="0061288E" w:rsidP="00D20861">
      <w:pPr>
        <w:spacing w:line="360" w:lineRule="auto"/>
        <w:jc w:val="left"/>
        <w:rPr>
          <w:rFonts w:asciiTheme="minorEastAsia" w:hAnsiTheme="minorEastAsia"/>
          <w:b/>
          <w:sz w:val="28"/>
          <w:szCs w:val="28"/>
        </w:rPr>
      </w:pPr>
    </w:p>
    <w:p w:rsidR="0061288E" w:rsidRPr="00BE3D54" w:rsidRDefault="0061288E" w:rsidP="00446431">
      <w:pPr>
        <w:spacing w:beforeLines="50" w:before="156" w:afterLines="50" w:after="156" w:line="360" w:lineRule="auto"/>
        <w:jc w:val="left"/>
        <w:rPr>
          <w:rFonts w:ascii="黑体" w:eastAsia="黑体" w:hAnsi="黑体"/>
          <w:sz w:val="30"/>
          <w:szCs w:val="30"/>
        </w:rPr>
      </w:pPr>
      <w:r w:rsidRPr="00BE3D54">
        <w:rPr>
          <w:rFonts w:ascii="黑体" w:eastAsia="黑体" w:hAnsi="黑体" w:hint="eastAsia"/>
          <w:sz w:val="30"/>
          <w:szCs w:val="30"/>
        </w:rPr>
        <w:t>一、 课题设置</w:t>
      </w:r>
    </w:p>
    <w:p w:rsidR="0061288E" w:rsidRPr="00BE3D54" w:rsidRDefault="0085409C" w:rsidP="00D20861">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w:t>
      </w:r>
      <w:r w:rsidR="0061288E" w:rsidRPr="00BE3D54">
        <w:rPr>
          <w:rFonts w:asciiTheme="minorEastAsia" w:hAnsiTheme="minorEastAsia" w:hint="eastAsia"/>
          <w:b/>
          <w:sz w:val="24"/>
          <w:szCs w:val="24"/>
        </w:rPr>
        <w:t>1</w:t>
      </w:r>
      <w:r w:rsidRPr="00BE3D54">
        <w:rPr>
          <w:rFonts w:asciiTheme="minorEastAsia" w:hAnsiTheme="minorEastAsia" w:hint="eastAsia"/>
          <w:b/>
          <w:sz w:val="24"/>
          <w:szCs w:val="24"/>
        </w:rPr>
        <w:t>：</w:t>
      </w:r>
      <w:r w:rsidR="00260BEE" w:rsidRPr="00BE3D54">
        <w:rPr>
          <w:rFonts w:asciiTheme="minorEastAsia" w:hAnsiTheme="minorEastAsia" w:hint="eastAsia"/>
          <w:b/>
          <w:sz w:val="24"/>
          <w:szCs w:val="24"/>
        </w:rPr>
        <w:t>基于电磁兼容的大功率变流器正向设计技术研究</w:t>
      </w:r>
    </w:p>
    <w:p w:rsidR="00260BEE" w:rsidRPr="00BE3D54" w:rsidRDefault="00260BEE" w:rsidP="00260BEE">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在城轨、地铁等电力驱动轨道交通车辆变流产品设计中，电磁兼容和干扰日益成为设计中的瓶颈。随着轨道车辆电子设备的增多，车内出现的电磁干扰问题越来越严重，经常出现设备间及设备内部的电磁兼容问题。从正向开发，从源头上提升EMC开发能力已经变得迫在眉睫。</w:t>
      </w:r>
    </w:p>
    <w:p w:rsidR="00260BEE" w:rsidRPr="00BE3D54" w:rsidRDefault="00260BEE" w:rsidP="00260BEE">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本课题的主要工作包含如下几个方面：</w:t>
      </w:r>
    </w:p>
    <w:p w:rsidR="00260BEE" w:rsidRPr="00BE3D54" w:rsidRDefault="00260BEE" w:rsidP="00260BEE">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（1）从首次抑制的角度从根本上解决变流器的干扰问题；</w:t>
      </w:r>
    </w:p>
    <w:p w:rsidR="00260BEE" w:rsidRPr="00BE3D54" w:rsidRDefault="00260BEE" w:rsidP="00260BEE">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（2）完成变流产品的电磁兼容风险分析及对标分析工作；</w:t>
      </w:r>
    </w:p>
    <w:p w:rsidR="00260BEE" w:rsidRPr="00BE3D54" w:rsidRDefault="00260BEE" w:rsidP="00260BEE">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（3）将控制原理与电磁兼容设</w:t>
      </w:r>
      <w:r w:rsidR="00F647F7" w:rsidRPr="00BE3D54">
        <w:rPr>
          <w:rFonts w:asciiTheme="majorEastAsia" w:eastAsiaTheme="majorEastAsia" w:hAnsiTheme="majorEastAsia" w:hint="eastAsia"/>
          <w:sz w:val="24"/>
          <w:szCs w:val="24"/>
        </w:rPr>
        <w:t>计技术相结合，从系统上抑制电磁干扰；</w:t>
      </w:r>
    </w:p>
    <w:p w:rsidR="0061288E" w:rsidRPr="00BE3D54" w:rsidRDefault="00260BEE" w:rsidP="00260BEE">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（4）引入系统工程方法，对变流器整机电磁兼容风险进行管控，提高系统一次通过率。</w:t>
      </w:r>
    </w:p>
    <w:p w:rsidR="0061288E" w:rsidRPr="00BE3D54" w:rsidRDefault="0061288E" w:rsidP="00D20861">
      <w:pPr>
        <w:spacing w:line="360" w:lineRule="auto"/>
        <w:ind w:firstLineChars="200" w:firstLine="480"/>
        <w:jc w:val="left"/>
        <w:rPr>
          <w:rFonts w:asciiTheme="majorEastAsia" w:eastAsiaTheme="majorEastAsia" w:hAnsiTheme="majorEastAsia"/>
          <w:sz w:val="24"/>
          <w:szCs w:val="24"/>
        </w:rPr>
      </w:pPr>
      <w:r w:rsidRPr="00BE3D54">
        <w:rPr>
          <w:rFonts w:asciiTheme="majorEastAsia" w:eastAsiaTheme="majorEastAsia" w:hAnsiTheme="majorEastAsia" w:hint="eastAsia"/>
          <w:sz w:val="24"/>
          <w:szCs w:val="24"/>
        </w:rPr>
        <w:t>提交成果：</w:t>
      </w:r>
    </w:p>
    <w:tbl>
      <w:tblPr>
        <w:tblW w:w="8520" w:type="dxa"/>
        <w:tblLayout w:type="fixed"/>
        <w:tblCellMar>
          <w:left w:w="0" w:type="dxa"/>
          <w:right w:w="0" w:type="dxa"/>
        </w:tblCellMar>
        <w:tblLook w:val="04A0" w:firstRow="1" w:lastRow="0" w:firstColumn="1" w:lastColumn="0" w:noHBand="0" w:noVBand="1"/>
      </w:tblPr>
      <w:tblGrid>
        <w:gridCol w:w="674"/>
        <w:gridCol w:w="4543"/>
        <w:gridCol w:w="1043"/>
        <w:gridCol w:w="2260"/>
      </w:tblGrid>
      <w:tr w:rsidR="00AB5A3D" w:rsidTr="00AB5A3D">
        <w:trPr>
          <w:cantSplit/>
          <w:tblHeader/>
        </w:trPr>
        <w:tc>
          <w:tcPr>
            <w:tcW w:w="67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AB5A3D" w:rsidRDefault="00AB5A3D">
            <w:pPr>
              <w:widowControl/>
              <w:spacing w:line="263" w:lineRule="atLeast"/>
              <w:jc w:val="both"/>
              <w:rPr>
                <w:rFonts w:ascii="Times New Roman" w:eastAsia="宋体" w:hAnsi="Times New Roman" w:cs="Times New Roman"/>
                <w:kern w:val="0"/>
                <w:szCs w:val="21"/>
              </w:rPr>
            </w:pPr>
            <w:r>
              <w:rPr>
                <w:rFonts w:ascii="Arial" w:eastAsia="宋体" w:hAnsi="Arial" w:cs="Arial"/>
                <w:b/>
                <w:kern w:val="0"/>
                <w:szCs w:val="21"/>
                <w:lang w:bidi="ar"/>
              </w:rPr>
              <w:t> </w:t>
            </w:r>
          </w:p>
        </w:tc>
        <w:tc>
          <w:tcPr>
            <w:tcW w:w="454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B5A3D" w:rsidRDefault="00AB5A3D">
            <w:pPr>
              <w:widowControl/>
              <w:spacing w:line="263" w:lineRule="atLeast"/>
              <w:jc w:val="both"/>
              <w:rPr>
                <w:rFonts w:ascii="Times New Roman" w:eastAsia="宋体" w:hAnsi="Times New Roman" w:cs="Times New Roman"/>
                <w:kern w:val="0"/>
                <w:szCs w:val="21"/>
              </w:rPr>
            </w:pPr>
            <w:r>
              <w:rPr>
                <w:rFonts w:ascii="宋体" w:eastAsia="宋体" w:hAnsi="宋体" w:cs="Times New Roman" w:hint="eastAsia"/>
                <w:b/>
                <w:kern w:val="0"/>
                <w:szCs w:val="21"/>
                <w:lang w:bidi="ar"/>
              </w:rPr>
              <w:t>交付物名称</w:t>
            </w:r>
          </w:p>
        </w:tc>
        <w:tc>
          <w:tcPr>
            <w:tcW w:w="104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B5A3D" w:rsidRDefault="00AB5A3D">
            <w:pPr>
              <w:widowControl/>
              <w:spacing w:line="263" w:lineRule="atLeast"/>
              <w:jc w:val="both"/>
              <w:rPr>
                <w:rFonts w:ascii="Times New Roman" w:eastAsia="宋体" w:hAnsi="Times New Roman" w:cs="Times New Roman"/>
                <w:kern w:val="0"/>
                <w:szCs w:val="21"/>
              </w:rPr>
            </w:pPr>
            <w:r>
              <w:rPr>
                <w:rFonts w:ascii="宋体" w:eastAsia="宋体" w:hAnsi="宋体" w:cs="Times New Roman" w:hint="eastAsia"/>
                <w:b/>
                <w:kern w:val="0"/>
                <w:szCs w:val="21"/>
                <w:lang w:bidi="ar"/>
              </w:rPr>
              <w:t>数量</w:t>
            </w:r>
          </w:p>
        </w:tc>
        <w:tc>
          <w:tcPr>
            <w:tcW w:w="226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B5A3D" w:rsidRDefault="00AB5A3D">
            <w:pPr>
              <w:widowControl/>
              <w:spacing w:line="263" w:lineRule="atLeast"/>
              <w:jc w:val="both"/>
              <w:rPr>
                <w:rFonts w:ascii="Times New Roman" w:eastAsia="宋体" w:hAnsi="Times New Roman" w:cs="Times New Roman"/>
                <w:kern w:val="0"/>
                <w:szCs w:val="21"/>
              </w:rPr>
            </w:pPr>
            <w:r>
              <w:rPr>
                <w:rFonts w:ascii="宋体" w:eastAsia="宋体" w:hAnsi="宋体" w:cs="Times New Roman" w:hint="eastAsia"/>
                <w:b/>
                <w:kern w:val="0"/>
                <w:szCs w:val="21"/>
                <w:lang w:bidi="ar"/>
              </w:rPr>
              <w:t>交付形式</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1</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变流器对标分析方案</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2</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干扰源和敏感体分类统计表</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3</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变流器拆解方案</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5</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变流器拆解计划表</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6</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变流器拆解记录</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7</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变流器拆解分析报告</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8</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干扰源和敏感体分类培训</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现场培训</w:t>
            </w:r>
            <w:r>
              <w:rPr>
                <w:rFonts w:ascii="Arial" w:eastAsia="宋体" w:hAnsi="Arial" w:cs="Arial"/>
                <w:kern w:val="0"/>
                <w:szCs w:val="21"/>
                <w:lang w:bidi="ar"/>
              </w:rPr>
              <w:t>/</w:t>
            </w: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9</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变流器拆解分析培训</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1</w:t>
            </w:r>
            <w:r>
              <w:rPr>
                <w:rFonts w:ascii="宋体" w:eastAsia="宋体" w:hAnsi="宋体" w:cs="Times New Roman" w:hint="eastAsia"/>
                <w:kern w:val="0"/>
                <w:szCs w:val="21"/>
                <w:lang w:bidi="ar"/>
              </w:rPr>
              <w:t>份</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现场培训</w:t>
            </w:r>
            <w:r>
              <w:rPr>
                <w:rFonts w:ascii="Arial" w:eastAsia="宋体" w:hAnsi="Arial" w:cs="Arial"/>
                <w:kern w:val="0"/>
                <w:szCs w:val="21"/>
                <w:lang w:bidi="ar"/>
              </w:rPr>
              <w:t>/</w:t>
            </w: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t>10</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电磁兼容相关论文</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2</w:t>
            </w:r>
            <w:r>
              <w:rPr>
                <w:rFonts w:ascii="宋体" w:eastAsia="宋体" w:hAnsi="宋体" w:cs="Times New Roman" w:hint="eastAsia"/>
                <w:kern w:val="0"/>
                <w:szCs w:val="21"/>
                <w:lang w:bidi="ar"/>
              </w:rPr>
              <w:t>篇</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r w:rsidR="00AB5A3D" w:rsidTr="00AB5A3D">
        <w:trPr>
          <w:cantSplit/>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left"/>
              <w:rPr>
                <w:rFonts w:ascii="Times New Roman" w:eastAsia="宋体" w:hAnsi="Times New Roman" w:cs="Times New Roman"/>
                <w:kern w:val="0"/>
                <w:sz w:val="24"/>
                <w:szCs w:val="24"/>
              </w:rPr>
            </w:pPr>
            <w:r>
              <w:rPr>
                <w:rFonts w:ascii="Arial" w:eastAsia="宋体" w:hAnsi="Arial" w:cs="Arial"/>
                <w:kern w:val="0"/>
                <w:szCs w:val="21"/>
                <w:lang w:bidi="ar"/>
              </w:rPr>
              <w:lastRenderedPageBreak/>
              <w:t>11</w:t>
            </w:r>
          </w:p>
        </w:tc>
        <w:tc>
          <w:tcPr>
            <w:tcW w:w="4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电磁兼容相关专利</w:t>
            </w: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Arial" w:eastAsia="宋体" w:hAnsi="Arial" w:cs="Arial"/>
                <w:kern w:val="0"/>
                <w:szCs w:val="21"/>
                <w:lang w:bidi="ar"/>
              </w:rPr>
              <w:t>2</w:t>
            </w:r>
            <w:r>
              <w:rPr>
                <w:rFonts w:ascii="宋体" w:eastAsia="宋体" w:hAnsi="宋体" w:cs="Times New Roman" w:hint="eastAsia"/>
                <w:kern w:val="0"/>
                <w:szCs w:val="21"/>
                <w:lang w:bidi="ar"/>
              </w:rPr>
              <w:t>篇</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5A3D" w:rsidRDefault="00AB5A3D">
            <w:pPr>
              <w:widowControl/>
              <w:spacing w:line="300" w:lineRule="atLeast"/>
              <w:ind w:firstLine="200"/>
              <w:jc w:val="both"/>
              <w:rPr>
                <w:rFonts w:ascii="Times New Roman" w:eastAsia="宋体" w:hAnsi="Times New Roman" w:cs="Times New Roman"/>
                <w:kern w:val="0"/>
                <w:sz w:val="24"/>
                <w:szCs w:val="24"/>
              </w:rPr>
            </w:pPr>
            <w:r>
              <w:rPr>
                <w:rFonts w:ascii="宋体" w:eastAsia="宋体" w:hAnsi="宋体" w:cs="Times New Roman" w:hint="eastAsia"/>
                <w:kern w:val="0"/>
                <w:szCs w:val="21"/>
                <w:lang w:bidi="ar"/>
              </w:rPr>
              <w:t>电子文档</w:t>
            </w:r>
          </w:p>
        </w:tc>
      </w:tr>
    </w:tbl>
    <w:p w:rsidR="0061288E" w:rsidRDefault="0061288E" w:rsidP="00D20861">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sidR="00260BEE">
        <w:rPr>
          <w:rFonts w:asciiTheme="minorEastAsia" w:hAnsiTheme="minorEastAsia" w:hint="eastAsia"/>
          <w:sz w:val="24"/>
          <w:szCs w:val="24"/>
        </w:rPr>
        <w:t>100</w:t>
      </w:r>
      <w:r w:rsidRPr="00D20861">
        <w:rPr>
          <w:rFonts w:asciiTheme="minorEastAsia" w:hAnsiTheme="minorEastAsia" w:hint="eastAsia"/>
          <w:sz w:val="24"/>
          <w:szCs w:val="24"/>
        </w:rPr>
        <w:t>万元以内。</w:t>
      </w:r>
    </w:p>
    <w:p w:rsidR="00260BEE" w:rsidRPr="00D20861" w:rsidRDefault="00260BEE" w:rsidP="00D2086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计划年限：2年。</w:t>
      </w:r>
    </w:p>
    <w:p w:rsidR="0061288E" w:rsidRPr="00D20861" w:rsidRDefault="0061288E" w:rsidP="00D20861">
      <w:pPr>
        <w:spacing w:line="360" w:lineRule="auto"/>
        <w:ind w:firstLineChars="200" w:firstLine="480"/>
        <w:jc w:val="left"/>
        <w:rPr>
          <w:rFonts w:asciiTheme="minorEastAsia" w:hAnsiTheme="minorEastAsia"/>
          <w:sz w:val="24"/>
          <w:szCs w:val="24"/>
        </w:rPr>
      </w:pPr>
    </w:p>
    <w:p w:rsidR="0061288E" w:rsidRPr="00BE3D54" w:rsidRDefault="0085409C" w:rsidP="00D20861">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课题2：</w:t>
      </w:r>
      <w:r w:rsidR="00260BEE" w:rsidRPr="00BE3D54">
        <w:rPr>
          <w:rFonts w:asciiTheme="minorEastAsia" w:hAnsiTheme="minorEastAsia" w:hint="eastAsia"/>
          <w:b/>
          <w:sz w:val="24"/>
          <w:szCs w:val="24"/>
        </w:rPr>
        <w:t>电流谐波最小化脉宽调制技术研究</w:t>
      </w:r>
    </w:p>
    <w:p w:rsidR="00260BEE" w:rsidRPr="00260BEE" w:rsidRDefault="00260BEE" w:rsidP="00260BEE">
      <w:pPr>
        <w:spacing w:line="360" w:lineRule="auto"/>
        <w:ind w:firstLineChars="200" w:firstLine="480"/>
        <w:jc w:val="left"/>
        <w:rPr>
          <w:rFonts w:asciiTheme="minorEastAsia" w:hAnsiTheme="minorEastAsia"/>
          <w:sz w:val="24"/>
          <w:szCs w:val="24"/>
        </w:rPr>
      </w:pPr>
      <w:r w:rsidRPr="00260BEE">
        <w:rPr>
          <w:rFonts w:asciiTheme="minorEastAsia" w:hAnsiTheme="minorEastAsia" w:hint="eastAsia"/>
          <w:sz w:val="24"/>
          <w:szCs w:val="24"/>
        </w:rPr>
        <w:t xml:space="preserve">在大功率交流传动领域，受PWM逆变器开关频率限制，电机电流具有丰富的谐波含量，电流谐波导致电机功率损耗大、发热严重，进而需要更大的电机通风散热功率。因此，对电流谐波进行抑制，减小谐波损耗具有十分重要的意义。电流谐波最小化PWM（CHMPWM）调制技术将总谐波电流最小作为优化目标，可获得更好的总谐波电流抑制效果，达到节能降耗的目的。项目研究工作主要包含以下几个方面：    </w:t>
      </w:r>
    </w:p>
    <w:p w:rsidR="00260BEE" w:rsidRPr="00260BEE" w:rsidRDefault="00260BEE" w:rsidP="00260BE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260BEE">
        <w:rPr>
          <w:rFonts w:asciiTheme="minorEastAsia" w:hAnsiTheme="minorEastAsia" w:hint="eastAsia"/>
          <w:sz w:val="24"/>
          <w:szCs w:val="24"/>
        </w:rPr>
        <w:t>研究</w:t>
      </w:r>
      <w:r w:rsidRPr="00260BEE">
        <w:rPr>
          <w:rFonts w:asciiTheme="minorEastAsia" w:hAnsiTheme="minorEastAsia"/>
          <w:sz w:val="24"/>
          <w:szCs w:val="24"/>
        </w:rPr>
        <w:t>CHMPWM</w:t>
      </w:r>
      <w:r w:rsidRPr="00260BEE">
        <w:rPr>
          <w:rFonts w:asciiTheme="minorEastAsia" w:hAnsiTheme="minorEastAsia" w:hint="eastAsia"/>
          <w:sz w:val="24"/>
          <w:szCs w:val="24"/>
        </w:rPr>
        <w:t>调制技术开关角求解方法及其在线拟合技术；</w:t>
      </w:r>
      <w:r w:rsidRPr="00260BEE">
        <w:rPr>
          <w:rFonts w:asciiTheme="minorEastAsia" w:hAnsiTheme="minorEastAsia"/>
          <w:sz w:val="24"/>
          <w:szCs w:val="24"/>
        </w:rPr>
        <w:t xml:space="preserve">     </w:t>
      </w:r>
    </w:p>
    <w:p w:rsidR="00260BEE" w:rsidRPr="00260BEE" w:rsidRDefault="00260BEE" w:rsidP="00260BE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260BEE">
        <w:rPr>
          <w:rFonts w:asciiTheme="minorEastAsia" w:hAnsiTheme="minorEastAsia" w:hint="eastAsia"/>
          <w:sz w:val="24"/>
          <w:szCs w:val="24"/>
        </w:rPr>
        <w:t>完成</w:t>
      </w:r>
      <w:r w:rsidRPr="00260BEE">
        <w:rPr>
          <w:rFonts w:asciiTheme="minorEastAsia" w:hAnsiTheme="minorEastAsia"/>
          <w:sz w:val="24"/>
          <w:szCs w:val="24"/>
        </w:rPr>
        <w:t>CHMPWM</w:t>
      </w:r>
      <w:r w:rsidRPr="00260BEE">
        <w:rPr>
          <w:rFonts w:asciiTheme="minorEastAsia" w:hAnsiTheme="minorEastAsia" w:hint="eastAsia"/>
          <w:sz w:val="24"/>
          <w:szCs w:val="24"/>
        </w:rPr>
        <w:t>调制算法程序开发；</w:t>
      </w:r>
      <w:r w:rsidRPr="00260BEE">
        <w:rPr>
          <w:rFonts w:asciiTheme="minorEastAsia" w:hAnsiTheme="minorEastAsia"/>
          <w:sz w:val="24"/>
          <w:szCs w:val="24"/>
        </w:rPr>
        <w:t xml:space="preserve">     </w:t>
      </w:r>
    </w:p>
    <w:p w:rsidR="00260BEE" w:rsidRPr="00260BEE" w:rsidRDefault="00260BEE" w:rsidP="00260BE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260BEE">
        <w:rPr>
          <w:rFonts w:asciiTheme="minorEastAsia" w:hAnsiTheme="minorEastAsia" w:hint="eastAsia"/>
          <w:sz w:val="24"/>
          <w:szCs w:val="24"/>
        </w:rPr>
        <w:t>基于半实物仿真平台，研究</w:t>
      </w:r>
      <w:r w:rsidRPr="00260BEE">
        <w:rPr>
          <w:rFonts w:asciiTheme="minorEastAsia" w:hAnsiTheme="minorEastAsia"/>
          <w:sz w:val="24"/>
          <w:szCs w:val="24"/>
        </w:rPr>
        <w:t>CHMPWM</w:t>
      </w:r>
      <w:r w:rsidRPr="00260BEE">
        <w:rPr>
          <w:rFonts w:asciiTheme="minorEastAsia" w:hAnsiTheme="minorEastAsia" w:hint="eastAsia"/>
          <w:sz w:val="24"/>
          <w:szCs w:val="24"/>
        </w:rPr>
        <w:t>调制方法下的电机电流谐波特性，并与传统调制方法进行对比；</w:t>
      </w:r>
      <w:r w:rsidRPr="00260BEE">
        <w:rPr>
          <w:rFonts w:asciiTheme="minorEastAsia" w:hAnsiTheme="minorEastAsia"/>
          <w:sz w:val="24"/>
          <w:szCs w:val="24"/>
        </w:rPr>
        <w:t xml:space="preserve">     </w:t>
      </w:r>
    </w:p>
    <w:p w:rsidR="00D20861" w:rsidRPr="00D20861" w:rsidRDefault="00260BEE" w:rsidP="00260BE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sidRPr="00260BEE">
        <w:rPr>
          <w:rFonts w:asciiTheme="minorEastAsia" w:hAnsiTheme="minorEastAsia" w:hint="eastAsia"/>
          <w:sz w:val="24"/>
          <w:szCs w:val="24"/>
        </w:rPr>
        <w:t>基于高压联调试验，研究</w:t>
      </w:r>
      <w:r w:rsidRPr="00260BEE">
        <w:rPr>
          <w:rFonts w:asciiTheme="minorEastAsia" w:hAnsiTheme="minorEastAsia"/>
          <w:sz w:val="24"/>
          <w:szCs w:val="24"/>
        </w:rPr>
        <w:t>CHMPWM</w:t>
      </w:r>
      <w:r w:rsidRPr="00260BEE">
        <w:rPr>
          <w:rFonts w:asciiTheme="minorEastAsia" w:hAnsiTheme="minorEastAsia" w:hint="eastAsia"/>
          <w:sz w:val="24"/>
          <w:szCs w:val="24"/>
        </w:rPr>
        <w:t>调制方法下的电机电流谐波特性及电机温升，并与传统调制方法进行对比。</w:t>
      </w:r>
    </w:p>
    <w:p w:rsidR="00D20861" w:rsidRPr="00D20861" w:rsidRDefault="00D20861" w:rsidP="00D20861">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提交成果：</w:t>
      </w:r>
    </w:p>
    <w:p w:rsidR="00AB5A3D" w:rsidRDefault="00AB5A3D" w:rsidP="00AB5A3D">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（1）CHMPWM调制技术基本原理及仿真分析报告。</w:t>
      </w:r>
    </w:p>
    <w:p w:rsidR="00AB5A3D" w:rsidRDefault="00AB5A3D" w:rsidP="00AB5A3D">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（2）CHMPWM调制算法程序源代码。</w:t>
      </w:r>
    </w:p>
    <w:p w:rsidR="00AB5A3D" w:rsidRDefault="00AB5A3D" w:rsidP="00AB5A3D">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（3）半实物仿真结果及对比报告。</w:t>
      </w:r>
    </w:p>
    <w:p w:rsidR="00AB5A3D" w:rsidRDefault="00AB5A3D" w:rsidP="00AB5A3D">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（4）高压联调试验结果及对比报告。</w:t>
      </w:r>
    </w:p>
    <w:p w:rsidR="00D20861" w:rsidRPr="00D20861" w:rsidRDefault="00D20861" w:rsidP="00D20861">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sidR="00260BEE">
        <w:rPr>
          <w:rFonts w:asciiTheme="minorEastAsia" w:hAnsiTheme="minorEastAsia" w:hint="eastAsia"/>
          <w:sz w:val="24"/>
          <w:szCs w:val="24"/>
        </w:rPr>
        <w:t>30</w:t>
      </w:r>
      <w:r w:rsidRPr="00D20861">
        <w:rPr>
          <w:rFonts w:asciiTheme="minorEastAsia" w:hAnsiTheme="minorEastAsia" w:hint="eastAsia"/>
          <w:sz w:val="24"/>
          <w:szCs w:val="24"/>
        </w:rPr>
        <w:t>万元以内。</w:t>
      </w:r>
    </w:p>
    <w:p w:rsidR="00D20861" w:rsidRDefault="00260BEE" w:rsidP="00D2086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计划年限：2年。</w:t>
      </w:r>
    </w:p>
    <w:p w:rsidR="00260BEE" w:rsidRDefault="00260BEE" w:rsidP="00D20861">
      <w:pPr>
        <w:spacing w:line="360" w:lineRule="auto"/>
        <w:ind w:firstLineChars="200" w:firstLine="480"/>
        <w:jc w:val="left"/>
        <w:rPr>
          <w:rFonts w:asciiTheme="minorEastAsia" w:hAnsiTheme="minorEastAsia"/>
          <w:sz w:val="24"/>
          <w:szCs w:val="24"/>
        </w:rPr>
      </w:pPr>
    </w:p>
    <w:p w:rsidR="00260BEE" w:rsidRPr="00BE3D54" w:rsidRDefault="0085409C" w:rsidP="00260BEE">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课题3：</w:t>
      </w:r>
      <w:r w:rsidR="00260BEE" w:rsidRPr="00BE3D54">
        <w:rPr>
          <w:rFonts w:asciiTheme="minorEastAsia" w:hAnsiTheme="minorEastAsia" w:hint="eastAsia"/>
          <w:b/>
          <w:sz w:val="24"/>
          <w:szCs w:val="24"/>
        </w:rPr>
        <w:t>电子产品焊点蠕变疲劳寿命研究及应用</w:t>
      </w:r>
    </w:p>
    <w:p w:rsidR="00260BEE" w:rsidRPr="00260BEE" w:rsidRDefault="00260BEE" w:rsidP="00260BEE">
      <w:pPr>
        <w:spacing w:line="360" w:lineRule="auto"/>
        <w:ind w:firstLineChars="200" w:firstLine="480"/>
        <w:jc w:val="left"/>
        <w:rPr>
          <w:rFonts w:asciiTheme="minorEastAsia" w:hAnsiTheme="minorEastAsia"/>
          <w:sz w:val="24"/>
          <w:szCs w:val="24"/>
        </w:rPr>
      </w:pPr>
      <w:r w:rsidRPr="00260BEE">
        <w:rPr>
          <w:rFonts w:asciiTheme="minorEastAsia" w:hAnsiTheme="minorEastAsia" w:hint="eastAsia"/>
          <w:sz w:val="24"/>
          <w:szCs w:val="24"/>
        </w:rPr>
        <w:t>近年来，随着电子技术的快速发展，电子封装向着微型化、高密度、高可靠性的方向发展，这就对板级电子产品的可靠性提出了越来越高的要求，也就对焊点的可靠性提出了更高的要求。在电子产品使用过程中，由于热循环、振动和冲击等影响，焊点内部会产生交变的弹塑性应变乃至蠕变，反复累积极易导致焊点疲劳失效，</w:t>
      </w:r>
      <w:r w:rsidRPr="00260BEE">
        <w:rPr>
          <w:rFonts w:asciiTheme="minorEastAsia" w:hAnsiTheme="minorEastAsia" w:hint="eastAsia"/>
          <w:sz w:val="24"/>
          <w:szCs w:val="24"/>
        </w:rPr>
        <w:lastRenderedPageBreak/>
        <w:t>所以很有必要对焊点可靠性进行研究。对于表面组装器件焊点可靠性，美国已形成了成熟的方法和经验，并制订了相关标准，如IPC标准给出了焊点可靠性加速试验指南、焊点性能测试方法和鉴定要求等，JESD22-A104-D给出了焊点加速试验中温度循环的设计方法，可指导焊点可靠性研究。而国内技术相对起步较晚，目前尚未形成相关标准，且对于温度循环和振动的综合加速试验如何设计、加速模型如何确定尚处于无人区状态。需主要进行的工作有如下几个方面：</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（1）研究在焊接及焊点服役过程中，哪些因素（宏观和微观）会影响焊点的蠕变疲劳寿命，给焊接工艺和焊点的设计提供依据；</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（2）研究常见焊点在服役过程中的变化规律，开展焊点蠕变疲劳寿命研究，通过热循环和振动综合加速寿命试验，激发焊点开裂故障，建立加速模型，评估焊点蠕变疲劳寿命；</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（3）建立焊点的失效模式/机理库。</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提交成果：</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（1）研究报告</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（2）焊点可靠性技术调研报告</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（3）焊点可靠性影响因素分析报告</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（4）焊点蠕变疲劳寿命试验大纲</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（5）焊点蠕变疲劳寿命试验报告</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（6）焊点失效模式/机理库</w:t>
      </w:r>
    </w:p>
    <w:p w:rsidR="00C2125D" w:rsidRPr="00C2125D" w:rsidRDefault="00C2125D" w:rsidP="00C2125D">
      <w:pPr>
        <w:spacing w:line="360" w:lineRule="auto"/>
        <w:ind w:firstLineChars="200" w:firstLine="480"/>
        <w:jc w:val="left"/>
        <w:rPr>
          <w:rFonts w:asciiTheme="minorEastAsia" w:hAnsiTheme="minorEastAsia"/>
          <w:sz w:val="24"/>
          <w:szCs w:val="24"/>
        </w:rPr>
      </w:pPr>
      <w:r w:rsidRPr="00C2125D">
        <w:rPr>
          <w:rFonts w:asciiTheme="minorEastAsia" w:hAnsiTheme="minorEastAsia" w:hint="eastAsia"/>
          <w:sz w:val="24"/>
          <w:szCs w:val="24"/>
        </w:rPr>
        <w:t>（7）专利1项（申请专利联合署名）</w:t>
      </w:r>
    </w:p>
    <w:p w:rsidR="00260BEE" w:rsidRPr="00D20861" w:rsidRDefault="00260BEE" w:rsidP="00260BEE">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Pr>
          <w:rFonts w:asciiTheme="minorEastAsia" w:hAnsiTheme="minorEastAsia" w:hint="eastAsia"/>
          <w:sz w:val="24"/>
          <w:szCs w:val="24"/>
        </w:rPr>
        <w:t>30</w:t>
      </w:r>
      <w:r w:rsidRPr="00D20861">
        <w:rPr>
          <w:rFonts w:asciiTheme="minorEastAsia" w:hAnsiTheme="minorEastAsia" w:hint="eastAsia"/>
          <w:sz w:val="24"/>
          <w:szCs w:val="24"/>
        </w:rPr>
        <w:t>万元以内。</w:t>
      </w:r>
    </w:p>
    <w:p w:rsidR="00260BEE" w:rsidRDefault="00260BEE" w:rsidP="00260BE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计划年限：2年。</w:t>
      </w:r>
    </w:p>
    <w:p w:rsidR="00260BEE" w:rsidRDefault="00260BEE" w:rsidP="00044398">
      <w:pPr>
        <w:spacing w:line="360" w:lineRule="auto"/>
        <w:jc w:val="left"/>
        <w:rPr>
          <w:rFonts w:asciiTheme="minorEastAsia" w:hAnsiTheme="minorEastAsia"/>
          <w:sz w:val="24"/>
          <w:szCs w:val="24"/>
        </w:rPr>
      </w:pPr>
    </w:p>
    <w:p w:rsidR="00260BEE" w:rsidRPr="00BE3D54" w:rsidRDefault="0085409C" w:rsidP="00FD319B">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w:t>
      </w:r>
      <w:r w:rsidR="00044398" w:rsidRPr="00BE3D54">
        <w:rPr>
          <w:rFonts w:asciiTheme="minorEastAsia" w:hAnsiTheme="minorEastAsia"/>
          <w:b/>
          <w:sz w:val="24"/>
          <w:szCs w:val="24"/>
        </w:rPr>
        <w:t>4</w:t>
      </w:r>
      <w:r w:rsidRPr="00BE3D54">
        <w:rPr>
          <w:rFonts w:asciiTheme="minorEastAsia" w:hAnsiTheme="minorEastAsia" w:hint="eastAsia"/>
          <w:b/>
          <w:sz w:val="24"/>
          <w:szCs w:val="24"/>
        </w:rPr>
        <w:t>：</w:t>
      </w:r>
      <w:r w:rsidR="00FD319B" w:rsidRPr="00BE3D54">
        <w:rPr>
          <w:rFonts w:asciiTheme="minorEastAsia" w:hAnsiTheme="minorEastAsia" w:hint="eastAsia"/>
          <w:b/>
          <w:sz w:val="24"/>
          <w:szCs w:val="24"/>
        </w:rPr>
        <w:t>动车组用动力电池系统研究</w:t>
      </w:r>
    </w:p>
    <w:p w:rsidR="00FD319B" w:rsidRPr="00FD319B" w:rsidRDefault="00FD319B" w:rsidP="00FD319B">
      <w:pPr>
        <w:spacing w:line="360" w:lineRule="auto"/>
        <w:ind w:firstLineChars="200" w:firstLine="480"/>
        <w:jc w:val="left"/>
        <w:rPr>
          <w:rFonts w:asciiTheme="minorEastAsia" w:hAnsiTheme="minorEastAsia"/>
          <w:sz w:val="24"/>
          <w:szCs w:val="24"/>
        </w:rPr>
      </w:pPr>
      <w:r w:rsidRPr="00FD319B">
        <w:rPr>
          <w:rFonts w:asciiTheme="minorEastAsia" w:hAnsiTheme="minorEastAsia" w:hint="eastAsia"/>
          <w:sz w:val="24"/>
          <w:szCs w:val="24"/>
        </w:rPr>
        <w:t>随着动力电池在铁路行业的大量应用，越来越多的动车组、机车、特种作业车辆采用了不同类型的动力电池作为动力来源，动力电池的设计和分析愈来愈迫切，动车组用动力电池系统研究主要有以下几方面：</w:t>
      </w:r>
    </w:p>
    <w:p w:rsidR="00FD319B" w:rsidRPr="00FD319B" w:rsidRDefault="00FD319B" w:rsidP="00FD319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FD319B">
        <w:rPr>
          <w:rFonts w:asciiTheme="minorEastAsia" w:hAnsiTheme="minorEastAsia" w:hint="eastAsia"/>
          <w:sz w:val="24"/>
          <w:szCs w:val="24"/>
        </w:rPr>
        <w:t>研究与分析不同类型的动力电池适用环境和动车组类型匹配关系；</w:t>
      </w:r>
    </w:p>
    <w:p w:rsidR="00FD319B" w:rsidRPr="00FD319B" w:rsidRDefault="00FD319B" w:rsidP="00FD319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FD319B">
        <w:rPr>
          <w:rFonts w:asciiTheme="minorEastAsia" w:hAnsiTheme="minorEastAsia" w:hint="eastAsia"/>
          <w:sz w:val="24"/>
          <w:szCs w:val="24"/>
        </w:rPr>
        <w:t>研究与分析不同用途动力电池的容量设计；</w:t>
      </w:r>
    </w:p>
    <w:p w:rsidR="00FD319B" w:rsidRPr="00FD319B" w:rsidRDefault="00FD319B" w:rsidP="00FD319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（3）</w:t>
      </w:r>
      <w:r w:rsidRPr="00FD319B">
        <w:rPr>
          <w:rFonts w:asciiTheme="minorEastAsia" w:hAnsiTheme="minorEastAsia" w:hint="eastAsia"/>
          <w:sz w:val="24"/>
          <w:szCs w:val="24"/>
        </w:rPr>
        <w:t>研究与分析不同用途动力电池的主电路拓扑、控制电路等；</w:t>
      </w:r>
    </w:p>
    <w:p w:rsidR="00FD319B" w:rsidRPr="00FD319B" w:rsidRDefault="00FD319B" w:rsidP="00FD319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sidRPr="00FD319B">
        <w:rPr>
          <w:rFonts w:asciiTheme="minorEastAsia" w:hAnsiTheme="minorEastAsia" w:hint="eastAsia"/>
          <w:sz w:val="24"/>
          <w:szCs w:val="24"/>
        </w:rPr>
        <w:t>研究与分析不同用途动力电池的能量管理系统；</w:t>
      </w:r>
    </w:p>
    <w:p w:rsidR="00260BEE" w:rsidRPr="00FD319B" w:rsidRDefault="00FD319B" w:rsidP="00FD319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w:t>
      </w:r>
      <w:r w:rsidRPr="00FD319B">
        <w:rPr>
          <w:rFonts w:asciiTheme="minorEastAsia" w:hAnsiTheme="minorEastAsia" w:hint="eastAsia"/>
          <w:sz w:val="24"/>
          <w:szCs w:val="24"/>
        </w:rPr>
        <w:t>研究与分析不同用途动力电池的温度控制系统。</w:t>
      </w:r>
    </w:p>
    <w:p w:rsidR="00FD319B" w:rsidRPr="00D20861" w:rsidRDefault="00FD319B" w:rsidP="00FD319B">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提交成果：</w:t>
      </w:r>
    </w:p>
    <w:p w:rsidR="00FD319B" w:rsidRPr="00D20861" w:rsidRDefault="00FD319B" w:rsidP="00FD319B">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（1）</w:t>
      </w:r>
      <w:r w:rsidRPr="00FD319B">
        <w:rPr>
          <w:rFonts w:asciiTheme="minorEastAsia" w:hAnsiTheme="minorEastAsia" w:hint="eastAsia"/>
          <w:sz w:val="24"/>
          <w:szCs w:val="24"/>
        </w:rPr>
        <w:t>研究报告</w:t>
      </w:r>
      <w:r>
        <w:rPr>
          <w:rFonts w:asciiTheme="minorEastAsia" w:hAnsiTheme="minorEastAsia" w:hint="eastAsia"/>
          <w:sz w:val="24"/>
          <w:szCs w:val="24"/>
        </w:rPr>
        <w:t>；</w:t>
      </w:r>
    </w:p>
    <w:p w:rsidR="00FD319B" w:rsidRDefault="00FD319B" w:rsidP="00FD319B">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（2）</w:t>
      </w:r>
      <w:r w:rsidRPr="00FD319B">
        <w:rPr>
          <w:rFonts w:asciiTheme="minorEastAsia" w:hAnsiTheme="minorEastAsia" w:hint="eastAsia"/>
          <w:sz w:val="24"/>
          <w:szCs w:val="24"/>
        </w:rPr>
        <w:t>至少2篇论文（署名实验室资助项目，核心期刊）</w:t>
      </w:r>
      <w:r>
        <w:rPr>
          <w:rFonts w:asciiTheme="minorEastAsia" w:hAnsiTheme="minorEastAsia" w:hint="eastAsia"/>
          <w:sz w:val="24"/>
          <w:szCs w:val="24"/>
        </w:rPr>
        <w:t>；</w:t>
      </w:r>
    </w:p>
    <w:p w:rsidR="00FD319B" w:rsidRPr="00D20861" w:rsidRDefault="00FD319B" w:rsidP="00FD319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FD319B">
        <w:rPr>
          <w:rFonts w:asciiTheme="minorEastAsia" w:hAnsiTheme="minorEastAsia" w:hint="eastAsia"/>
          <w:sz w:val="24"/>
          <w:szCs w:val="24"/>
        </w:rPr>
        <w:t>专利1项（申请专利联合署名）</w:t>
      </w:r>
      <w:r>
        <w:rPr>
          <w:rFonts w:asciiTheme="minorEastAsia" w:hAnsiTheme="minorEastAsia" w:hint="eastAsia"/>
          <w:sz w:val="24"/>
          <w:szCs w:val="24"/>
        </w:rPr>
        <w:t>。</w:t>
      </w:r>
    </w:p>
    <w:p w:rsidR="00FD319B" w:rsidRPr="00D20861" w:rsidRDefault="00FD319B" w:rsidP="00FD319B">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Pr>
          <w:rFonts w:asciiTheme="minorEastAsia" w:hAnsiTheme="minorEastAsia" w:hint="eastAsia"/>
          <w:sz w:val="24"/>
          <w:szCs w:val="24"/>
        </w:rPr>
        <w:t>20</w:t>
      </w:r>
      <w:r w:rsidRPr="00D20861">
        <w:rPr>
          <w:rFonts w:asciiTheme="minorEastAsia" w:hAnsiTheme="minorEastAsia" w:hint="eastAsia"/>
          <w:sz w:val="24"/>
          <w:szCs w:val="24"/>
        </w:rPr>
        <w:t>万元以内。</w:t>
      </w:r>
    </w:p>
    <w:p w:rsidR="00FD319B" w:rsidRDefault="00FD319B" w:rsidP="00FD319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计划年限：2年。</w:t>
      </w:r>
    </w:p>
    <w:p w:rsidR="00260BEE" w:rsidRDefault="00260BEE" w:rsidP="00D20861">
      <w:pPr>
        <w:spacing w:line="360" w:lineRule="auto"/>
        <w:ind w:firstLineChars="200" w:firstLine="480"/>
        <w:jc w:val="left"/>
        <w:rPr>
          <w:rFonts w:asciiTheme="minorEastAsia" w:hAnsiTheme="minorEastAsia"/>
          <w:sz w:val="24"/>
          <w:szCs w:val="24"/>
        </w:rPr>
      </w:pPr>
    </w:p>
    <w:p w:rsidR="00044398" w:rsidRPr="00BE3D54" w:rsidRDefault="00044398" w:rsidP="00044398">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课题5：交流传动试验台用联轴器研究</w:t>
      </w:r>
    </w:p>
    <w:p w:rsidR="00044398" w:rsidRP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hint="eastAsia"/>
          <w:sz w:val="24"/>
          <w:szCs w:val="24"/>
        </w:rPr>
        <w:t>动力传动中联轴器是连接两轴或者两个回转件，传递运动和转矩的重要部件，具有不同程度的轴向、径向、角向补偿性能;还具有不同程度的减振、缓冲作用，各种弹性联轴器的结构不同，差异较大，在传动系统中的作用亦不尽相同，本课题旨在通过对交流传动中的关键部件联轴节做深入研究，以适应大扭矩、高转速的动力传递。</w:t>
      </w:r>
    </w:p>
    <w:p w:rsidR="00044398" w:rsidRP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hint="eastAsia"/>
          <w:sz w:val="24"/>
          <w:szCs w:val="24"/>
        </w:rPr>
        <w:t>针对交流传动试验台，提出被试电机与陪试电机之间背靠背联轴节方案，需保证试验台在全速域范围内正常工作，研究的联轴节要求快速安装，拆卸方便，其指标如下：</w:t>
      </w:r>
    </w:p>
    <w:p w:rsidR="00044398" w:rsidRP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hint="eastAsia"/>
          <w:sz w:val="24"/>
          <w:szCs w:val="24"/>
        </w:rPr>
        <w:t>1）允许的径向和轴向相对位移分别满足±12.3mm和±11mm</w:t>
      </w:r>
      <w:r w:rsidR="008C36DB">
        <w:rPr>
          <w:rFonts w:asciiTheme="minorEastAsia" w:hAnsiTheme="minorEastAsia" w:hint="eastAsia"/>
          <w:sz w:val="24"/>
          <w:szCs w:val="24"/>
        </w:rPr>
        <w:t>；</w:t>
      </w:r>
    </w:p>
    <w:p w:rsidR="00044398" w:rsidRP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hint="eastAsia"/>
          <w:sz w:val="24"/>
          <w:szCs w:val="24"/>
        </w:rPr>
        <w:t>2）最高持续转速可以达到</w:t>
      </w:r>
      <w:r w:rsidRPr="00044398">
        <w:rPr>
          <w:rFonts w:asciiTheme="minorEastAsia" w:hAnsiTheme="minorEastAsia"/>
          <w:sz w:val="24"/>
          <w:szCs w:val="24"/>
        </w:rPr>
        <w:t>6</w:t>
      </w:r>
      <w:r w:rsidRPr="00044398">
        <w:rPr>
          <w:rFonts w:asciiTheme="minorEastAsia" w:hAnsiTheme="minorEastAsia" w:hint="eastAsia"/>
          <w:sz w:val="24"/>
          <w:szCs w:val="24"/>
        </w:rPr>
        <w:t>5</w:t>
      </w:r>
      <w:r w:rsidRPr="00044398">
        <w:rPr>
          <w:rFonts w:asciiTheme="minorEastAsia" w:hAnsiTheme="minorEastAsia"/>
          <w:sz w:val="24"/>
          <w:szCs w:val="24"/>
        </w:rPr>
        <w:t>00r/min</w:t>
      </w:r>
      <w:r w:rsidR="008C36DB">
        <w:rPr>
          <w:rFonts w:asciiTheme="minorEastAsia" w:hAnsiTheme="minorEastAsia" w:hint="eastAsia"/>
          <w:sz w:val="24"/>
          <w:szCs w:val="24"/>
        </w:rPr>
        <w:t>；</w:t>
      </w:r>
    </w:p>
    <w:p w:rsidR="00044398" w:rsidRP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hint="eastAsia"/>
          <w:sz w:val="24"/>
          <w:szCs w:val="24"/>
        </w:rPr>
        <w:t>3）最高扭矩可以达到100000Nm。</w:t>
      </w:r>
    </w:p>
    <w:p w:rsidR="00044398" w:rsidRDefault="00044398" w:rsidP="00044398">
      <w:pPr>
        <w:widowControl/>
        <w:shd w:val="clear" w:color="auto" w:fill="FFFFFF"/>
        <w:spacing w:line="312" w:lineRule="auto"/>
        <w:ind w:firstLineChars="200" w:firstLine="420"/>
        <w:jc w:val="left"/>
      </w:pPr>
    </w:p>
    <w:p w:rsidR="00044398" w:rsidRPr="001C06AC" w:rsidRDefault="00044398" w:rsidP="00044398">
      <w:r w:rsidRPr="001C06AC">
        <w:rPr>
          <w:noProof/>
        </w:rPr>
        <w:lastRenderedPageBreak/>
        <w:drawing>
          <wp:inline distT="0" distB="0" distL="0" distR="0" wp14:anchorId="0889A906" wp14:editId="242600E8">
            <wp:extent cx="3267075" cy="2686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2686050"/>
                    </a:xfrm>
                    <a:prstGeom prst="rect">
                      <a:avLst/>
                    </a:prstGeom>
                    <a:noFill/>
                    <a:ln>
                      <a:noFill/>
                    </a:ln>
                  </pic:spPr>
                </pic:pic>
              </a:graphicData>
            </a:graphic>
          </wp:inline>
        </w:drawing>
      </w:r>
    </w:p>
    <w:p w:rsidR="00044398" w:rsidRDefault="00044398" w:rsidP="00044398">
      <w:r w:rsidRPr="001C06AC">
        <w:rPr>
          <w:rFonts w:hint="eastAsia"/>
        </w:rPr>
        <w:t>图</w:t>
      </w:r>
      <w:r w:rsidRPr="001C06AC">
        <w:t xml:space="preserve">1  </w:t>
      </w:r>
      <w:r w:rsidRPr="001C06AC">
        <w:rPr>
          <w:rFonts w:hint="eastAsia"/>
        </w:rPr>
        <w:t>联轴节工作示意图</w:t>
      </w:r>
    </w:p>
    <w:p w:rsidR="00044398" w:rsidRPr="001C06AC" w:rsidRDefault="00044398" w:rsidP="00044398"/>
    <w:p w:rsidR="00044398" w:rsidRPr="00044398" w:rsidRDefault="00044398" w:rsidP="0004439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提交成果</w:t>
      </w:r>
      <w:r>
        <w:rPr>
          <w:rFonts w:asciiTheme="minorEastAsia" w:hAnsiTheme="minorEastAsia"/>
          <w:sz w:val="24"/>
          <w:szCs w:val="24"/>
        </w:rPr>
        <w:t>：</w:t>
      </w:r>
    </w:p>
    <w:p w:rsidR="00044398" w:rsidRP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sz w:val="24"/>
          <w:szCs w:val="24"/>
        </w:rPr>
        <w:t>1</w:t>
      </w:r>
      <w:r w:rsidRPr="00044398">
        <w:rPr>
          <w:rFonts w:asciiTheme="minorEastAsia" w:hAnsiTheme="minorEastAsia" w:hint="eastAsia"/>
          <w:sz w:val="24"/>
          <w:szCs w:val="24"/>
        </w:rPr>
        <w:t>）研究报告</w:t>
      </w:r>
      <w:r>
        <w:rPr>
          <w:rFonts w:asciiTheme="minorEastAsia" w:hAnsiTheme="minorEastAsia" w:hint="eastAsia"/>
          <w:sz w:val="24"/>
          <w:szCs w:val="24"/>
        </w:rPr>
        <w:t>；</w:t>
      </w:r>
    </w:p>
    <w:p w:rsidR="00044398" w:rsidRP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sz w:val="24"/>
          <w:szCs w:val="24"/>
        </w:rPr>
        <w:t>2</w:t>
      </w:r>
      <w:r w:rsidRPr="00044398">
        <w:rPr>
          <w:rFonts w:asciiTheme="minorEastAsia" w:hAnsiTheme="minorEastAsia" w:hint="eastAsia"/>
          <w:sz w:val="24"/>
          <w:szCs w:val="24"/>
        </w:rPr>
        <w:t>）专利</w:t>
      </w:r>
      <w:r w:rsidRPr="00044398">
        <w:rPr>
          <w:rFonts w:asciiTheme="minorEastAsia" w:hAnsiTheme="minorEastAsia"/>
          <w:sz w:val="24"/>
          <w:szCs w:val="24"/>
        </w:rPr>
        <w:t>1</w:t>
      </w:r>
      <w:r w:rsidRPr="00044398">
        <w:rPr>
          <w:rFonts w:asciiTheme="minorEastAsia" w:hAnsiTheme="minorEastAsia" w:hint="eastAsia"/>
          <w:sz w:val="24"/>
          <w:szCs w:val="24"/>
        </w:rPr>
        <w:t>项（申请专利联合署名）</w:t>
      </w:r>
      <w:r>
        <w:rPr>
          <w:rFonts w:asciiTheme="minorEastAsia" w:hAnsiTheme="minorEastAsia" w:hint="eastAsia"/>
          <w:sz w:val="24"/>
          <w:szCs w:val="24"/>
        </w:rPr>
        <w:t>；</w:t>
      </w:r>
    </w:p>
    <w:p w:rsidR="00044398" w:rsidRDefault="00044398" w:rsidP="00044398">
      <w:pPr>
        <w:spacing w:line="360" w:lineRule="auto"/>
        <w:ind w:firstLineChars="200" w:firstLine="480"/>
        <w:jc w:val="left"/>
        <w:rPr>
          <w:rFonts w:asciiTheme="minorEastAsia" w:hAnsiTheme="minorEastAsia"/>
          <w:sz w:val="24"/>
          <w:szCs w:val="24"/>
        </w:rPr>
      </w:pPr>
      <w:r w:rsidRPr="00044398">
        <w:rPr>
          <w:rFonts w:asciiTheme="minorEastAsia" w:hAnsiTheme="minorEastAsia"/>
          <w:sz w:val="24"/>
          <w:szCs w:val="24"/>
        </w:rPr>
        <w:t>3</w:t>
      </w:r>
      <w:r w:rsidRPr="00044398">
        <w:rPr>
          <w:rFonts w:asciiTheme="minorEastAsia" w:hAnsiTheme="minorEastAsia" w:hint="eastAsia"/>
          <w:sz w:val="24"/>
          <w:szCs w:val="24"/>
        </w:rPr>
        <w:t>）试制样品</w:t>
      </w:r>
      <w:r>
        <w:rPr>
          <w:rFonts w:asciiTheme="minorEastAsia" w:hAnsiTheme="minorEastAsia" w:hint="eastAsia"/>
          <w:sz w:val="24"/>
          <w:szCs w:val="24"/>
        </w:rPr>
        <w:t>。</w:t>
      </w:r>
    </w:p>
    <w:p w:rsidR="00044398" w:rsidRPr="00D20861" w:rsidRDefault="00044398" w:rsidP="00044398">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Pr>
          <w:rFonts w:asciiTheme="minorEastAsia" w:hAnsiTheme="minorEastAsia" w:hint="eastAsia"/>
          <w:sz w:val="24"/>
          <w:szCs w:val="24"/>
        </w:rPr>
        <w:t>20</w:t>
      </w:r>
      <w:r w:rsidRPr="00D20861">
        <w:rPr>
          <w:rFonts w:asciiTheme="minorEastAsia" w:hAnsiTheme="minorEastAsia" w:hint="eastAsia"/>
          <w:sz w:val="24"/>
          <w:szCs w:val="24"/>
        </w:rPr>
        <w:t>万元以内。</w:t>
      </w:r>
    </w:p>
    <w:p w:rsidR="00044398" w:rsidRDefault="00044398" w:rsidP="0004439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w:t>
      </w:r>
      <w:r>
        <w:rPr>
          <w:rFonts w:asciiTheme="minorEastAsia" w:hAnsiTheme="minorEastAsia"/>
          <w:sz w:val="24"/>
          <w:szCs w:val="24"/>
        </w:rPr>
        <w:t>1</w:t>
      </w:r>
      <w:r>
        <w:rPr>
          <w:rFonts w:asciiTheme="minorEastAsia" w:hAnsiTheme="minorEastAsia" w:hint="eastAsia"/>
          <w:sz w:val="24"/>
          <w:szCs w:val="24"/>
        </w:rPr>
        <w:t>年。</w:t>
      </w:r>
    </w:p>
    <w:p w:rsidR="007B43F5" w:rsidRPr="00044398" w:rsidRDefault="007B43F5" w:rsidP="00044398">
      <w:pPr>
        <w:spacing w:line="360" w:lineRule="auto"/>
        <w:ind w:firstLineChars="200" w:firstLine="480"/>
        <w:jc w:val="left"/>
        <w:rPr>
          <w:rFonts w:asciiTheme="minorEastAsia" w:hAnsiTheme="minorEastAsia"/>
          <w:sz w:val="24"/>
          <w:szCs w:val="24"/>
        </w:rPr>
      </w:pPr>
    </w:p>
    <w:p w:rsidR="00260BEE" w:rsidRPr="00BE3D54" w:rsidRDefault="0085409C" w:rsidP="003B52E2">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课题6：</w:t>
      </w:r>
      <w:r w:rsidR="003B52E2" w:rsidRPr="00BE3D54">
        <w:rPr>
          <w:rFonts w:asciiTheme="minorEastAsia" w:hAnsiTheme="minorEastAsia" w:hint="eastAsia"/>
          <w:b/>
          <w:sz w:val="24"/>
          <w:szCs w:val="24"/>
        </w:rPr>
        <w:t>第三代半导体器件在轨道交通中的应用研究</w:t>
      </w:r>
    </w:p>
    <w:p w:rsidR="003B52E2" w:rsidRPr="003B52E2" w:rsidRDefault="003B52E2" w:rsidP="003B52E2">
      <w:pPr>
        <w:spacing w:line="360" w:lineRule="auto"/>
        <w:ind w:firstLineChars="200" w:firstLine="480"/>
        <w:jc w:val="left"/>
        <w:rPr>
          <w:rFonts w:asciiTheme="minorEastAsia" w:hAnsiTheme="minorEastAsia"/>
          <w:sz w:val="24"/>
          <w:szCs w:val="24"/>
        </w:rPr>
      </w:pPr>
      <w:r w:rsidRPr="003B52E2">
        <w:rPr>
          <w:rFonts w:asciiTheme="minorEastAsia" w:hAnsiTheme="minorEastAsia" w:hint="eastAsia"/>
          <w:sz w:val="24"/>
          <w:szCs w:val="24"/>
        </w:rPr>
        <w:t>电力电</w:t>
      </w:r>
      <w:r w:rsidR="006522A5">
        <w:rPr>
          <w:rFonts w:asciiTheme="minorEastAsia" w:hAnsiTheme="minorEastAsia" w:hint="eastAsia"/>
          <w:sz w:val="24"/>
          <w:szCs w:val="24"/>
        </w:rPr>
        <w:t>子</w:t>
      </w:r>
      <w:r w:rsidRPr="003B52E2">
        <w:rPr>
          <w:rFonts w:asciiTheme="minorEastAsia" w:hAnsiTheme="minorEastAsia" w:hint="eastAsia"/>
          <w:sz w:val="24"/>
          <w:szCs w:val="24"/>
        </w:rPr>
        <w:t>器件是轨道交通变流器技术的基础核心部件之一。随着第1代半导体硅器件被广泛应用，例如IGBT，MOSFET，器件性能已经达到了硅材料的极限。第2代半导体由于受到禁带宽度限制，不适用</w:t>
      </w:r>
      <w:r w:rsidR="006522A5">
        <w:rPr>
          <w:rFonts w:asciiTheme="minorEastAsia" w:hAnsiTheme="minorEastAsia" w:hint="eastAsia"/>
          <w:sz w:val="24"/>
          <w:szCs w:val="24"/>
        </w:rPr>
        <w:t>于</w:t>
      </w:r>
      <w:r w:rsidRPr="003B52E2">
        <w:rPr>
          <w:rFonts w:asciiTheme="minorEastAsia" w:hAnsiTheme="minorEastAsia" w:hint="eastAsia"/>
          <w:sz w:val="24"/>
          <w:szCs w:val="24"/>
        </w:rPr>
        <w:t>大功率电子器件。第3代半导体以SiC为代表，更适用</w:t>
      </w:r>
      <w:r w:rsidR="006522A5">
        <w:rPr>
          <w:rFonts w:asciiTheme="minorEastAsia" w:hAnsiTheme="minorEastAsia" w:hint="eastAsia"/>
          <w:sz w:val="24"/>
          <w:szCs w:val="24"/>
        </w:rPr>
        <w:t>于</w:t>
      </w:r>
      <w:r w:rsidRPr="003B52E2">
        <w:rPr>
          <w:rFonts w:asciiTheme="minorEastAsia" w:hAnsiTheme="minorEastAsia" w:hint="eastAsia"/>
          <w:sz w:val="24"/>
          <w:szCs w:val="24"/>
        </w:rPr>
        <w:t>高电压，大功率的电力电子器件, 具备损耗低、宜高频、耐高温等显著优点，是对Si基IGBT的有力替代。新型器件在轨道交通的应用必将对现有变流器的拓扑结构，性能功能产生革命性影响。但是新器件的应用也会给变流器在轨道交通的应用带来新的挑战。</w:t>
      </w:r>
    </w:p>
    <w:p w:rsidR="003B52E2" w:rsidRPr="003B52E2" w:rsidRDefault="003B52E2" w:rsidP="003B52E2">
      <w:pPr>
        <w:spacing w:line="360" w:lineRule="auto"/>
        <w:ind w:firstLineChars="200" w:firstLine="480"/>
        <w:jc w:val="left"/>
        <w:rPr>
          <w:rFonts w:asciiTheme="minorEastAsia" w:hAnsiTheme="minorEastAsia"/>
          <w:sz w:val="24"/>
          <w:szCs w:val="24"/>
        </w:rPr>
      </w:pPr>
      <w:r w:rsidRPr="003B52E2">
        <w:rPr>
          <w:rFonts w:asciiTheme="minorEastAsia" w:hAnsiTheme="minorEastAsia" w:hint="eastAsia"/>
          <w:sz w:val="24"/>
          <w:szCs w:val="24"/>
        </w:rPr>
        <w:t>主要研究内容：</w:t>
      </w:r>
    </w:p>
    <w:p w:rsidR="003B52E2" w:rsidRPr="003B52E2" w:rsidRDefault="003B52E2" w:rsidP="003B52E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3B52E2">
        <w:rPr>
          <w:rFonts w:asciiTheme="minorEastAsia" w:hAnsiTheme="minorEastAsia" w:hint="eastAsia"/>
          <w:sz w:val="24"/>
          <w:szCs w:val="24"/>
        </w:rPr>
        <w:t>新型</w:t>
      </w:r>
      <w:r w:rsidRPr="003B52E2">
        <w:rPr>
          <w:rFonts w:asciiTheme="minorEastAsia" w:hAnsiTheme="minorEastAsia"/>
          <w:sz w:val="24"/>
          <w:szCs w:val="24"/>
        </w:rPr>
        <w:t>SiC</w:t>
      </w:r>
      <w:r w:rsidRPr="003B52E2">
        <w:rPr>
          <w:rFonts w:asciiTheme="minorEastAsia" w:hAnsiTheme="minorEastAsia" w:hint="eastAsia"/>
          <w:sz w:val="24"/>
          <w:szCs w:val="24"/>
        </w:rPr>
        <w:t>电力电子器件在轨道交通变流器中应用的调研分析</w:t>
      </w:r>
      <w:r w:rsidR="00A4583E">
        <w:rPr>
          <w:rFonts w:asciiTheme="minorEastAsia" w:hAnsiTheme="minorEastAsia" w:hint="eastAsia"/>
          <w:sz w:val="24"/>
          <w:szCs w:val="24"/>
        </w:rPr>
        <w:t>；</w:t>
      </w:r>
    </w:p>
    <w:p w:rsidR="003B52E2" w:rsidRPr="003B52E2" w:rsidRDefault="003B52E2" w:rsidP="003B52E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3B52E2">
        <w:rPr>
          <w:rFonts w:asciiTheme="minorEastAsia" w:hAnsiTheme="minorEastAsia" w:hint="eastAsia"/>
          <w:sz w:val="24"/>
          <w:szCs w:val="24"/>
        </w:rPr>
        <w:t>用于轨道交通的</w:t>
      </w:r>
      <w:r w:rsidRPr="003B52E2">
        <w:rPr>
          <w:rFonts w:asciiTheme="minorEastAsia" w:hAnsiTheme="minorEastAsia"/>
          <w:sz w:val="24"/>
          <w:szCs w:val="24"/>
        </w:rPr>
        <w:t>SiC</w:t>
      </w:r>
      <w:r w:rsidRPr="003B52E2">
        <w:rPr>
          <w:rFonts w:asciiTheme="minorEastAsia" w:hAnsiTheme="minorEastAsia" w:hint="eastAsia"/>
          <w:sz w:val="24"/>
          <w:szCs w:val="24"/>
        </w:rPr>
        <w:t>器件的功率模块研发</w:t>
      </w:r>
      <w:r w:rsidR="00A4583E">
        <w:rPr>
          <w:rFonts w:asciiTheme="minorEastAsia" w:hAnsiTheme="minorEastAsia" w:hint="eastAsia"/>
          <w:sz w:val="24"/>
          <w:szCs w:val="24"/>
        </w:rPr>
        <w:t>；</w:t>
      </w:r>
    </w:p>
    <w:p w:rsidR="003B52E2" w:rsidRPr="003B52E2" w:rsidRDefault="003B52E2" w:rsidP="003B52E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3B52E2">
        <w:rPr>
          <w:rFonts w:asciiTheme="minorEastAsia" w:hAnsiTheme="minorEastAsia" w:hint="eastAsia"/>
          <w:sz w:val="24"/>
          <w:szCs w:val="24"/>
        </w:rPr>
        <w:t>基于</w:t>
      </w:r>
      <w:r w:rsidR="00303B12">
        <w:rPr>
          <w:rFonts w:asciiTheme="minorEastAsia" w:hAnsiTheme="minorEastAsia" w:hint="eastAsia"/>
          <w:sz w:val="24"/>
          <w:szCs w:val="24"/>
        </w:rPr>
        <w:t>功率</w:t>
      </w:r>
      <w:r w:rsidR="00303B12">
        <w:rPr>
          <w:rFonts w:asciiTheme="minorEastAsia" w:hAnsiTheme="minorEastAsia"/>
          <w:sz w:val="24"/>
          <w:szCs w:val="24"/>
        </w:rPr>
        <w:t>模块</w:t>
      </w:r>
      <w:r w:rsidRPr="003B52E2">
        <w:rPr>
          <w:rFonts w:asciiTheme="minorEastAsia" w:hAnsiTheme="minorEastAsia" w:hint="eastAsia"/>
          <w:sz w:val="24"/>
          <w:szCs w:val="24"/>
        </w:rPr>
        <w:t>样机的性能（功率密度，效率，动态响应以及电磁兼容性）</w:t>
      </w:r>
      <w:r w:rsidRPr="003B52E2">
        <w:rPr>
          <w:rFonts w:asciiTheme="minorEastAsia" w:hAnsiTheme="minorEastAsia" w:hint="eastAsia"/>
          <w:sz w:val="24"/>
          <w:szCs w:val="24"/>
        </w:rPr>
        <w:lastRenderedPageBreak/>
        <w:t>的测试与评估</w:t>
      </w:r>
      <w:r w:rsidR="00A4583E">
        <w:rPr>
          <w:rFonts w:asciiTheme="minorEastAsia" w:hAnsiTheme="minorEastAsia" w:hint="eastAsia"/>
          <w:sz w:val="24"/>
          <w:szCs w:val="24"/>
        </w:rPr>
        <w:t>；</w:t>
      </w:r>
    </w:p>
    <w:p w:rsidR="00260BEE" w:rsidRPr="003B52E2" w:rsidRDefault="003B52E2" w:rsidP="003B52E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sidRPr="003B52E2">
        <w:rPr>
          <w:rFonts w:asciiTheme="minorEastAsia" w:hAnsiTheme="minorEastAsia" w:hint="eastAsia"/>
          <w:sz w:val="24"/>
          <w:szCs w:val="24"/>
        </w:rPr>
        <w:t>碳化硅器件高速开关带来的电磁干扰问题的试验评估方法和抑制方法的研究</w:t>
      </w:r>
      <w:r w:rsidR="00A4583E">
        <w:rPr>
          <w:rFonts w:asciiTheme="minorEastAsia" w:hAnsiTheme="minorEastAsia" w:hint="eastAsia"/>
          <w:sz w:val="24"/>
          <w:szCs w:val="24"/>
        </w:rPr>
        <w:t>。</w:t>
      </w:r>
    </w:p>
    <w:p w:rsidR="003B52E2" w:rsidRPr="00D20861" w:rsidRDefault="003B52E2" w:rsidP="003B52E2">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提交成果：</w:t>
      </w:r>
    </w:p>
    <w:p w:rsidR="00154E0E" w:rsidRPr="003E3523"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（1）调研分析报告；</w:t>
      </w:r>
    </w:p>
    <w:p w:rsidR="00154E0E" w:rsidRPr="003E3523"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（2）</w:t>
      </w:r>
      <w:r w:rsidR="00303B12">
        <w:rPr>
          <w:rFonts w:asciiTheme="minorEastAsia" w:hAnsiTheme="minorEastAsia" w:hint="eastAsia"/>
          <w:sz w:val="24"/>
          <w:szCs w:val="24"/>
        </w:rPr>
        <w:t>功率</w:t>
      </w:r>
      <w:r w:rsidR="00303B12">
        <w:rPr>
          <w:rFonts w:asciiTheme="minorEastAsia" w:hAnsiTheme="minorEastAsia"/>
          <w:sz w:val="24"/>
          <w:szCs w:val="24"/>
        </w:rPr>
        <w:t>模块</w:t>
      </w:r>
      <w:r w:rsidRPr="003E3523">
        <w:rPr>
          <w:rFonts w:asciiTheme="minorEastAsia" w:hAnsiTheme="minorEastAsia" w:hint="eastAsia"/>
          <w:sz w:val="24"/>
          <w:szCs w:val="24"/>
        </w:rPr>
        <w:t>样机详细设计方案，含：设计计算书、主要部件的技术规格书，杂散参数的优化设计方案；</w:t>
      </w:r>
    </w:p>
    <w:p w:rsidR="00154E0E" w:rsidRPr="003E3523"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（3）基于样机试验的发热和效率的计算与测量方法；</w:t>
      </w:r>
    </w:p>
    <w:p w:rsidR="00154E0E" w:rsidRPr="003E3523"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（4）基于样机试验的功率模块传导骚扰的评估和抑制方法报告；</w:t>
      </w:r>
    </w:p>
    <w:p w:rsidR="00154E0E"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（5）样机测试报告，含：杂散参数实测数据、热特性实测数据、传导骚扰实测数据；</w:t>
      </w:r>
    </w:p>
    <w:p w:rsidR="003B52E2" w:rsidRPr="00D20861" w:rsidRDefault="003B52E2" w:rsidP="003B52E2">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Pr>
          <w:rFonts w:asciiTheme="minorEastAsia" w:hAnsiTheme="minorEastAsia" w:hint="eastAsia"/>
          <w:sz w:val="24"/>
          <w:szCs w:val="24"/>
        </w:rPr>
        <w:t>50</w:t>
      </w:r>
      <w:r w:rsidRPr="00D20861">
        <w:rPr>
          <w:rFonts w:asciiTheme="minorEastAsia" w:hAnsiTheme="minorEastAsia" w:hint="eastAsia"/>
          <w:sz w:val="24"/>
          <w:szCs w:val="24"/>
        </w:rPr>
        <w:t>万元以内。</w:t>
      </w:r>
    </w:p>
    <w:p w:rsidR="003B52E2" w:rsidRDefault="003B52E2" w:rsidP="003B52E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w:t>
      </w:r>
      <w:r w:rsidR="00303B12">
        <w:rPr>
          <w:rFonts w:asciiTheme="minorEastAsia" w:hAnsiTheme="minorEastAsia"/>
          <w:sz w:val="24"/>
          <w:szCs w:val="24"/>
        </w:rPr>
        <w:t>2</w:t>
      </w:r>
      <w:bookmarkStart w:id="0" w:name="_GoBack"/>
      <w:bookmarkEnd w:id="0"/>
      <w:r>
        <w:rPr>
          <w:rFonts w:asciiTheme="minorEastAsia" w:hAnsiTheme="minorEastAsia" w:hint="eastAsia"/>
          <w:sz w:val="24"/>
          <w:szCs w:val="24"/>
        </w:rPr>
        <w:t>年。</w:t>
      </w:r>
    </w:p>
    <w:p w:rsidR="00260BEE" w:rsidRPr="003B52E2" w:rsidRDefault="00260BEE" w:rsidP="00D20861">
      <w:pPr>
        <w:spacing w:line="360" w:lineRule="auto"/>
        <w:ind w:firstLineChars="200" w:firstLine="480"/>
        <w:jc w:val="left"/>
        <w:rPr>
          <w:rFonts w:asciiTheme="minorEastAsia" w:hAnsiTheme="minorEastAsia"/>
          <w:sz w:val="24"/>
          <w:szCs w:val="24"/>
        </w:rPr>
      </w:pPr>
    </w:p>
    <w:p w:rsidR="00260BEE" w:rsidRPr="00BE3D54" w:rsidRDefault="0085409C" w:rsidP="005568A3">
      <w:pPr>
        <w:spacing w:line="360" w:lineRule="auto"/>
        <w:jc w:val="left"/>
        <w:rPr>
          <w:rFonts w:asciiTheme="minorEastAsia" w:hAnsiTheme="minorEastAsia"/>
          <w:b/>
          <w:sz w:val="24"/>
          <w:szCs w:val="24"/>
        </w:rPr>
      </w:pPr>
      <w:r w:rsidRPr="00BE3D54">
        <w:rPr>
          <w:rFonts w:asciiTheme="minorEastAsia" w:hAnsiTheme="minorEastAsia" w:hint="eastAsia"/>
          <w:b/>
          <w:sz w:val="24"/>
          <w:szCs w:val="24"/>
        </w:rPr>
        <w:t>课题7：</w:t>
      </w:r>
      <w:r w:rsidR="005568A3" w:rsidRPr="00BE3D54">
        <w:rPr>
          <w:rFonts w:asciiTheme="minorEastAsia" w:hAnsiTheme="minorEastAsia" w:hint="eastAsia"/>
          <w:b/>
          <w:sz w:val="24"/>
          <w:szCs w:val="24"/>
        </w:rPr>
        <w:t>永磁同步电机无位置传感器控制技术研究</w:t>
      </w:r>
    </w:p>
    <w:p w:rsidR="005568A3" w:rsidRPr="005568A3" w:rsidRDefault="005568A3" w:rsidP="005568A3">
      <w:pPr>
        <w:spacing w:line="360" w:lineRule="auto"/>
        <w:ind w:firstLineChars="200" w:firstLine="480"/>
        <w:jc w:val="left"/>
        <w:rPr>
          <w:rFonts w:asciiTheme="minorEastAsia" w:hAnsiTheme="minorEastAsia"/>
          <w:sz w:val="24"/>
          <w:szCs w:val="24"/>
        </w:rPr>
      </w:pPr>
      <w:r w:rsidRPr="005568A3">
        <w:rPr>
          <w:rFonts w:asciiTheme="minorEastAsia" w:hAnsiTheme="minorEastAsia" w:hint="eastAsia"/>
          <w:sz w:val="24"/>
          <w:szCs w:val="24"/>
        </w:rPr>
        <w:t xml:space="preserve">永磁同步电机具有高功率密度、高功率因数、高效率和低噪音等优点，符合“绿色、低碳”的发展理念。高品质的永磁同步电机牵引传动系统依赖于准确的转子位置/转速检测，传统采用位置/速度传感器的方法不仅成本高，还降低了整个系统的可靠性，因此研究永磁同步电机无位置传感器控制技术具有很重要的理论意义和实用价值。 </w:t>
      </w:r>
    </w:p>
    <w:p w:rsidR="005568A3" w:rsidRPr="005568A3" w:rsidRDefault="005568A3" w:rsidP="005568A3">
      <w:pPr>
        <w:spacing w:line="360" w:lineRule="auto"/>
        <w:ind w:firstLineChars="200" w:firstLine="480"/>
        <w:jc w:val="left"/>
        <w:rPr>
          <w:rFonts w:asciiTheme="minorEastAsia" w:hAnsiTheme="minorEastAsia"/>
          <w:sz w:val="24"/>
          <w:szCs w:val="24"/>
        </w:rPr>
      </w:pPr>
      <w:r w:rsidRPr="005568A3">
        <w:rPr>
          <w:rFonts w:asciiTheme="minorEastAsia" w:hAnsiTheme="minorEastAsia" w:hint="eastAsia"/>
          <w:sz w:val="24"/>
          <w:szCs w:val="24"/>
        </w:rPr>
        <w:t>主要研究内容：</w:t>
      </w:r>
    </w:p>
    <w:p w:rsidR="005568A3" w:rsidRDefault="005568A3" w:rsidP="005568A3">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5568A3">
        <w:rPr>
          <w:rFonts w:asciiTheme="minorEastAsia" w:hAnsiTheme="minorEastAsia" w:hint="eastAsia"/>
          <w:sz w:val="24"/>
          <w:szCs w:val="24"/>
        </w:rPr>
        <w:t>对现有永磁电机无位置传感器控制技术进行总结，比较其优缺点</w:t>
      </w:r>
      <w:r w:rsidR="00A4583E">
        <w:rPr>
          <w:rFonts w:asciiTheme="minorEastAsia" w:hAnsiTheme="minorEastAsia" w:hint="eastAsia"/>
          <w:sz w:val="24"/>
          <w:szCs w:val="24"/>
        </w:rPr>
        <w:t>；</w:t>
      </w:r>
    </w:p>
    <w:p w:rsidR="005568A3" w:rsidRDefault="005568A3" w:rsidP="005568A3">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5568A3">
        <w:rPr>
          <w:rFonts w:asciiTheme="minorEastAsia" w:hAnsiTheme="minorEastAsia" w:hint="eastAsia"/>
          <w:sz w:val="24"/>
          <w:szCs w:val="24"/>
        </w:rPr>
        <w:t>选取一种最优的无位置传感器控制技术，进行离线仿真、半实物仿真研究。</w:t>
      </w:r>
    </w:p>
    <w:p w:rsidR="005568A3" w:rsidRPr="003E3523" w:rsidRDefault="005568A3" w:rsidP="005568A3">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提交成果：</w:t>
      </w:r>
    </w:p>
    <w:p w:rsidR="00154E0E" w:rsidRPr="003E3523"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（1）研究报告，含：方案调研与对比分析，仿真测试报告，观测模型的理论分析与设计方法；</w:t>
      </w:r>
    </w:p>
    <w:p w:rsidR="00154E0E" w:rsidRPr="003E3523"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（2）全速度范围离线仿真模型设计计算书，含：控制周期、采样处理方法、观测器参数、高/低速观测模型模式切换方法(若含有多种观测模式)；</w:t>
      </w:r>
    </w:p>
    <w:p w:rsidR="00154E0E" w:rsidRDefault="00154E0E" w:rsidP="00154E0E">
      <w:pPr>
        <w:spacing w:line="360" w:lineRule="auto"/>
        <w:ind w:firstLineChars="200" w:firstLine="480"/>
        <w:jc w:val="left"/>
        <w:rPr>
          <w:rFonts w:asciiTheme="minorEastAsia" w:hAnsiTheme="minorEastAsia"/>
          <w:sz w:val="24"/>
          <w:szCs w:val="24"/>
        </w:rPr>
      </w:pPr>
      <w:r w:rsidRPr="003E3523">
        <w:rPr>
          <w:rFonts w:asciiTheme="minorEastAsia" w:hAnsiTheme="minorEastAsia" w:hint="eastAsia"/>
          <w:sz w:val="24"/>
          <w:szCs w:val="24"/>
        </w:rPr>
        <w:t>（3）半实物仿真模型（或实验台）测试数据与测试报告，含：全速度范围电流</w:t>
      </w:r>
      <w:r w:rsidRPr="003E3523">
        <w:rPr>
          <w:rFonts w:asciiTheme="minorEastAsia" w:hAnsiTheme="minorEastAsia" w:hint="eastAsia"/>
          <w:sz w:val="24"/>
          <w:szCs w:val="24"/>
        </w:rPr>
        <w:lastRenderedPageBreak/>
        <w:t>波形、角度观测精度；</w:t>
      </w:r>
    </w:p>
    <w:p w:rsidR="005568A3" w:rsidRPr="00D20861" w:rsidRDefault="005568A3" w:rsidP="005568A3">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课题经费额度：</w:t>
      </w:r>
      <w:r>
        <w:rPr>
          <w:rFonts w:asciiTheme="minorEastAsia" w:hAnsiTheme="minorEastAsia" w:hint="eastAsia"/>
          <w:sz w:val="24"/>
          <w:szCs w:val="24"/>
        </w:rPr>
        <w:t>25</w:t>
      </w:r>
      <w:r w:rsidRPr="00D20861">
        <w:rPr>
          <w:rFonts w:asciiTheme="minorEastAsia" w:hAnsiTheme="minorEastAsia" w:hint="eastAsia"/>
          <w:sz w:val="24"/>
          <w:szCs w:val="24"/>
        </w:rPr>
        <w:t>万元以内。</w:t>
      </w:r>
    </w:p>
    <w:p w:rsidR="005568A3" w:rsidRPr="005568A3" w:rsidRDefault="005568A3" w:rsidP="0044643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计划年限：1年。</w:t>
      </w:r>
    </w:p>
    <w:p w:rsidR="0061288E" w:rsidRPr="00BE3D54" w:rsidRDefault="00D20861" w:rsidP="00446431">
      <w:pPr>
        <w:spacing w:beforeLines="50" w:before="156" w:afterLines="50" w:after="156" w:line="360" w:lineRule="auto"/>
        <w:jc w:val="left"/>
        <w:rPr>
          <w:rFonts w:ascii="黑体" w:eastAsia="黑体" w:hAnsi="黑体"/>
          <w:sz w:val="30"/>
          <w:szCs w:val="30"/>
        </w:rPr>
      </w:pPr>
      <w:r w:rsidRPr="00BE3D54">
        <w:rPr>
          <w:rFonts w:ascii="黑体" w:eastAsia="黑体" w:hAnsi="黑体" w:hint="eastAsia"/>
          <w:sz w:val="30"/>
          <w:szCs w:val="30"/>
        </w:rPr>
        <w:t>二</w:t>
      </w:r>
      <w:r w:rsidR="0061288E" w:rsidRPr="00BE3D54">
        <w:rPr>
          <w:rFonts w:ascii="黑体" w:eastAsia="黑体" w:hAnsi="黑体" w:hint="eastAsia"/>
          <w:sz w:val="30"/>
          <w:szCs w:val="30"/>
        </w:rPr>
        <w:t>、 课题申请及有关要求</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（一）接受具备下列条件研究课题的申请</w:t>
      </w:r>
    </w:p>
    <w:p w:rsidR="0061288E" w:rsidRPr="00D20861" w:rsidRDefault="00D20861" w:rsidP="00D20861">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0061288E" w:rsidRPr="00D20861">
        <w:rPr>
          <w:rFonts w:asciiTheme="minorEastAsia" w:hAnsiTheme="minorEastAsia" w:hint="eastAsia"/>
          <w:sz w:val="24"/>
          <w:szCs w:val="24"/>
        </w:rPr>
        <w:t>1.符合《指南》资助范围的研究。</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2.学术思想新颖，创新性明显，立论根据充分，研究目标明确，研究内容具体，研究方法和技术路线合理、可行，经费预算科学合理，近期可取得重要进展的研究。</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3.申请者与课题组成员应具备实施该课题的研究能力和可靠的时间保证，并具有基本的研究条件;申请者必须是课题的实际主持人。</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4.遵守科学道德，以严谨的科学作风和实事求是的科学精神撰写申请书。</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5.不涉及知识产权纠纷等问题。</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（二）指南文件发布</w:t>
      </w:r>
    </w:p>
    <w:p w:rsidR="0061288E" w:rsidRPr="00D20861" w:rsidRDefault="00D20861" w:rsidP="00D20861">
      <w:pPr>
        <w:tabs>
          <w:tab w:val="left" w:pos="426"/>
        </w:tabs>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00BC5866">
        <w:rPr>
          <w:rFonts w:asciiTheme="minorEastAsia" w:hAnsiTheme="minorEastAsia" w:hint="eastAsia"/>
          <w:sz w:val="24"/>
          <w:szCs w:val="24"/>
        </w:rPr>
        <w:t>《</w:t>
      </w:r>
      <w:r w:rsidR="0061288E" w:rsidRPr="00D20861">
        <w:rPr>
          <w:rFonts w:asciiTheme="minorEastAsia" w:hAnsiTheme="minorEastAsia" w:hint="eastAsia"/>
          <w:sz w:val="24"/>
          <w:szCs w:val="24"/>
        </w:rPr>
        <w:t>指南</w:t>
      </w:r>
      <w:r w:rsidR="00BC5866">
        <w:rPr>
          <w:rFonts w:asciiTheme="minorEastAsia" w:hAnsiTheme="minorEastAsia" w:hint="eastAsia"/>
          <w:sz w:val="24"/>
          <w:szCs w:val="24"/>
        </w:rPr>
        <w:t>》</w:t>
      </w:r>
      <w:r w:rsidR="0061288E" w:rsidRPr="00D20861">
        <w:rPr>
          <w:rFonts w:asciiTheme="minorEastAsia" w:hAnsiTheme="minorEastAsia" w:hint="eastAsia"/>
          <w:sz w:val="24"/>
          <w:szCs w:val="24"/>
        </w:rPr>
        <w:t>在</w:t>
      </w:r>
      <w:r w:rsidR="005568A3">
        <w:rPr>
          <w:rFonts w:asciiTheme="minorEastAsia" w:hAnsiTheme="minorEastAsia" w:hint="eastAsia"/>
          <w:sz w:val="24"/>
          <w:szCs w:val="24"/>
        </w:rPr>
        <w:t>铁科院院网</w:t>
      </w:r>
      <w:r w:rsidR="0061288E" w:rsidRPr="00D20861">
        <w:rPr>
          <w:rFonts w:asciiTheme="minorEastAsia" w:hAnsiTheme="minorEastAsia" w:hint="eastAsia"/>
          <w:sz w:val="24"/>
          <w:szCs w:val="24"/>
        </w:rPr>
        <w:t>上发布。</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（三）课题承担单位的确定</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有意承担课题的申请人与我</w:t>
      </w:r>
      <w:r w:rsidR="00D20861">
        <w:rPr>
          <w:rFonts w:asciiTheme="minorEastAsia" w:hAnsiTheme="minorEastAsia" w:hint="eastAsia"/>
          <w:sz w:val="24"/>
          <w:szCs w:val="24"/>
        </w:rPr>
        <w:t>实验室</w:t>
      </w:r>
      <w:r w:rsidRPr="00D20861">
        <w:rPr>
          <w:rFonts w:asciiTheme="minorEastAsia" w:hAnsiTheme="minorEastAsia" w:hint="eastAsia"/>
          <w:sz w:val="24"/>
          <w:szCs w:val="24"/>
        </w:rPr>
        <w:t>联系，以报名表方式提出申请，并附营业执照或社会团体登记证书或事业单位法人证书或其他类型主体资格证书复印件(加盖公章)等。</w:t>
      </w:r>
      <w:r w:rsidR="00D20861">
        <w:rPr>
          <w:rFonts w:asciiTheme="minorEastAsia" w:hAnsiTheme="minorEastAsia" w:hint="eastAsia"/>
          <w:sz w:val="24"/>
          <w:szCs w:val="24"/>
        </w:rPr>
        <w:t>实验室</w:t>
      </w:r>
      <w:r w:rsidRPr="00D20861">
        <w:rPr>
          <w:rFonts w:asciiTheme="minorEastAsia" w:hAnsiTheme="minorEastAsia" w:hint="eastAsia"/>
          <w:sz w:val="24"/>
          <w:szCs w:val="24"/>
        </w:rPr>
        <w:t>学术委员会对课题申请书进行评审，按照择优支持的原则确定资助对象。必要时申请者须按规定参加答辩。</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w:t>
      </w:r>
      <w:r w:rsidR="00DB771F" w:rsidRPr="00446431">
        <w:rPr>
          <w:rFonts w:asciiTheme="minorEastAsia" w:hAnsiTheme="minorEastAsia" w:hint="eastAsia"/>
          <w:b/>
          <w:sz w:val="24"/>
          <w:szCs w:val="24"/>
        </w:rPr>
        <w:t>四</w:t>
      </w:r>
      <w:r w:rsidRPr="00446431">
        <w:rPr>
          <w:rFonts w:asciiTheme="minorEastAsia" w:hAnsiTheme="minorEastAsia" w:hint="eastAsia"/>
          <w:b/>
          <w:sz w:val="24"/>
          <w:szCs w:val="24"/>
        </w:rPr>
        <w:t>）课题实施</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确定承担单位后，按国家经费管理的有关规定和</w:t>
      </w:r>
      <w:r w:rsidR="00471502">
        <w:rPr>
          <w:rFonts w:asciiTheme="minorEastAsia" w:hAnsiTheme="minorEastAsia" w:hint="eastAsia"/>
          <w:sz w:val="24"/>
          <w:szCs w:val="24"/>
        </w:rPr>
        <w:t>本实验室开放课题</w:t>
      </w:r>
      <w:r w:rsidRPr="00D20861">
        <w:rPr>
          <w:rFonts w:asciiTheme="minorEastAsia" w:hAnsiTheme="minorEastAsia" w:hint="eastAsia"/>
          <w:sz w:val="24"/>
          <w:szCs w:val="24"/>
        </w:rPr>
        <w:t>项目管理办法签订协议，承担单位按照合同约定组织课题研究工作，课题经费的使用要符合相关规定。</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w:t>
      </w:r>
      <w:r w:rsidR="00DB771F" w:rsidRPr="00446431">
        <w:rPr>
          <w:rFonts w:asciiTheme="minorEastAsia" w:hAnsiTheme="minorEastAsia" w:hint="eastAsia"/>
          <w:b/>
          <w:sz w:val="24"/>
          <w:szCs w:val="24"/>
        </w:rPr>
        <w:t>五</w:t>
      </w:r>
      <w:r w:rsidRPr="00446431">
        <w:rPr>
          <w:rFonts w:asciiTheme="minorEastAsia" w:hAnsiTheme="minorEastAsia" w:hint="eastAsia"/>
          <w:b/>
          <w:sz w:val="24"/>
          <w:szCs w:val="24"/>
        </w:rPr>
        <w:t>）课题结题和成果标注</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1.研究报告中应包括该项技术综合评述</w:t>
      </w:r>
      <w:r w:rsidR="00193B63">
        <w:rPr>
          <w:rFonts w:asciiTheme="minorEastAsia" w:hAnsiTheme="minorEastAsia" w:hint="eastAsia"/>
          <w:sz w:val="24"/>
          <w:szCs w:val="24"/>
        </w:rPr>
        <w:t>以及</w:t>
      </w:r>
      <w:r w:rsidRPr="00D20861">
        <w:rPr>
          <w:rFonts w:asciiTheme="minorEastAsia" w:hAnsiTheme="minorEastAsia" w:hint="eastAsia"/>
          <w:sz w:val="24"/>
          <w:szCs w:val="24"/>
        </w:rPr>
        <w:t>应用建议。</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2.研究课题完成后，申请人需认真填写课题结题报告，进行验收并存档，并作为下一期申请的依据之一。</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3.研究课题的有关论文、专著、成果评议鉴定资料等，均应标注：</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lastRenderedPageBreak/>
        <w:t xml:space="preserve">　　中文：</w:t>
      </w:r>
      <w:r w:rsidR="00DB771F" w:rsidRPr="00DB771F">
        <w:rPr>
          <w:rFonts w:asciiTheme="minorEastAsia" w:hAnsiTheme="minorEastAsia" w:hint="eastAsia"/>
          <w:sz w:val="24"/>
          <w:szCs w:val="24"/>
        </w:rPr>
        <w:t>动车组和机车牵引与控制国家重点实验室</w:t>
      </w:r>
      <w:r w:rsidRPr="00D20861">
        <w:rPr>
          <w:rFonts w:asciiTheme="minorEastAsia" w:hAnsiTheme="minorEastAsia" w:hint="eastAsia"/>
          <w:sz w:val="24"/>
          <w:szCs w:val="24"/>
        </w:rPr>
        <w:t>，北京，1000</w:t>
      </w:r>
      <w:r w:rsidR="00DB771F">
        <w:rPr>
          <w:rFonts w:asciiTheme="minorEastAsia" w:hAnsiTheme="minorEastAsia" w:hint="eastAsia"/>
          <w:sz w:val="24"/>
          <w:szCs w:val="24"/>
        </w:rPr>
        <w:t>81</w:t>
      </w:r>
    </w:p>
    <w:p w:rsidR="0061288E" w:rsidRPr="00D20861" w:rsidRDefault="0061288E" w:rsidP="00DB771F">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英文：</w:t>
      </w:r>
      <w:r w:rsidR="00DB771F" w:rsidRPr="00DB771F">
        <w:rPr>
          <w:rFonts w:asciiTheme="minorEastAsia" w:hAnsiTheme="minorEastAsia"/>
          <w:sz w:val="24"/>
          <w:szCs w:val="24"/>
        </w:rPr>
        <w:t>State Key Laboratory for Traction and Control</w:t>
      </w:r>
      <w:r w:rsidR="00DB771F">
        <w:rPr>
          <w:rFonts w:asciiTheme="minorEastAsia" w:hAnsiTheme="minorEastAsia" w:hint="eastAsia"/>
          <w:sz w:val="24"/>
          <w:szCs w:val="24"/>
        </w:rPr>
        <w:t xml:space="preserve"> </w:t>
      </w:r>
      <w:r w:rsidR="00DB771F" w:rsidRPr="00DB771F">
        <w:rPr>
          <w:rFonts w:asciiTheme="minorEastAsia" w:hAnsiTheme="minorEastAsia"/>
          <w:sz w:val="24"/>
          <w:szCs w:val="24"/>
        </w:rPr>
        <w:t xml:space="preserve">System of EMU and </w:t>
      </w:r>
      <w:r w:rsidR="00DB771F">
        <w:rPr>
          <w:rFonts w:asciiTheme="minorEastAsia" w:hAnsiTheme="minorEastAsia" w:hint="eastAsia"/>
          <w:sz w:val="24"/>
          <w:szCs w:val="24"/>
        </w:rPr>
        <w:t xml:space="preserve"> </w:t>
      </w:r>
      <w:r w:rsidR="00DB771F" w:rsidRPr="00DB771F">
        <w:rPr>
          <w:rFonts w:asciiTheme="minorEastAsia" w:hAnsiTheme="minorEastAsia"/>
          <w:sz w:val="24"/>
          <w:szCs w:val="24"/>
        </w:rPr>
        <w:t>Locomotive</w:t>
      </w:r>
      <w:r w:rsidRPr="00D20861">
        <w:rPr>
          <w:rFonts w:asciiTheme="minorEastAsia" w:hAnsiTheme="minorEastAsia" w:hint="eastAsia"/>
          <w:sz w:val="24"/>
          <w:szCs w:val="24"/>
        </w:rPr>
        <w:t>, China, 1000</w:t>
      </w:r>
      <w:r w:rsidR="00DB771F">
        <w:rPr>
          <w:rFonts w:asciiTheme="minorEastAsia" w:hAnsiTheme="minorEastAsia" w:hint="eastAsia"/>
          <w:sz w:val="24"/>
          <w:szCs w:val="24"/>
        </w:rPr>
        <w:t>81</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w:t>
      </w:r>
      <w:r w:rsidR="00DB771F">
        <w:rPr>
          <w:rFonts w:asciiTheme="minorEastAsia" w:hAnsiTheme="minorEastAsia" w:hint="eastAsia"/>
          <w:sz w:val="24"/>
          <w:szCs w:val="24"/>
        </w:rPr>
        <w:t>4</w:t>
      </w:r>
      <w:r w:rsidRPr="00D20861">
        <w:rPr>
          <w:rFonts w:asciiTheme="minorEastAsia" w:hAnsiTheme="minorEastAsia" w:hint="eastAsia"/>
          <w:sz w:val="24"/>
          <w:szCs w:val="24"/>
        </w:rPr>
        <w:t>.研究课题所取得的成果（包括收集到的资料、研究报告、相应课题内开发的软件及其测试检验报告等）归实验室及研究者共同所有。</w:t>
      </w:r>
    </w:p>
    <w:p w:rsidR="0061288E" w:rsidRPr="00446431" w:rsidRDefault="0061288E" w:rsidP="00D20861">
      <w:pPr>
        <w:spacing w:line="360" w:lineRule="auto"/>
        <w:jc w:val="left"/>
        <w:rPr>
          <w:rFonts w:asciiTheme="minorEastAsia" w:hAnsiTheme="minorEastAsia"/>
          <w:b/>
          <w:sz w:val="24"/>
          <w:szCs w:val="24"/>
        </w:rPr>
      </w:pPr>
      <w:r w:rsidRPr="00446431">
        <w:rPr>
          <w:rFonts w:asciiTheme="minorEastAsia" w:hAnsiTheme="minorEastAsia" w:hint="eastAsia"/>
          <w:b/>
          <w:sz w:val="24"/>
          <w:szCs w:val="24"/>
        </w:rPr>
        <w:t>（</w:t>
      </w:r>
      <w:r w:rsidR="00DB771F" w:rsidRPr="00446431">
        <w:rPr>
          <w:rFonts w:asciiTheme="minorEastAsia" w:hAnsiTheme="minorEastAsia" w:hint="eastAsia"/>
          <w:b/>
          <w:sz w:val="24"/>
          <w:szCs w:val="24"/>
        </w:rPr>
        <w:t>六</w:t>
      </w:r>
      <w:r w:rsidRPr="00446431">
        <w:rPr>
          <w:rFonts w:asciiTheme="minorEastAsia" w:hAnsiTheme="minorEastAsia" w:hint="eastAsia"/>
          <w:b/>
          <w:sz w:val="24"/>
          <w:szCs w:val="24"/>
        </w:rPr>
        <w:t>）其他要求及有关说明</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1. 鼓励获得课题资助的申请者来实验室开展研究工作或派研究生到本实验室工作，实验室将提供软硬件和相关数据的支持。</w:t>
      </w:r>
    </w:p>
    <w:p w:rsidR="00DB771F"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2. 本次申报不收取保证金。</w:t>
      </w:r>
    </w:p>
    <w:p w:rsidR="0061288E" w:rsidRPr="00446431" w:rsidRDefault="00DB771F" w:rsidP="00446431">
      <w:pPr>
        <w:spacing w:beforeLines="50" w:before="156" w:afterLines="50" w:after="156" w:line="360" w:lineRule="auto"/>
        <w:jc w:val="left"/>
        <w:rPr>
          <w:rFonts w:ascii="黑体" w:eastAsia="黑体" w:hAnsi="黑体"/>
          <w:sz w:val="30"/>
          <w:szCs w:val="30"/>
        </w:rPr>
      </w:pPr>
      <w:r w:rsidRPr="00446431">
        <w:rPr>
          <w:rFonts w:ascii="黑体" w:eastAsia="黑体" w:hAnsi="黑体" w:hint="eastAsia"/>
          <w:sz w:val="30"/>
          <w:szCs w:val="30"/>
        </w:rPr>
        <w:t>三</w:t>
      </w:r>
      <w:r w:rsidR="0061288E" w:rsidRPr="00446431">
        <w:rPr>
          <w:rFonts w:ascii="黑体" w:eastAsia="黑体" w:hAnsi="黑体" w:hint="eastAsia"/>
          <w:sz w:val="30"/>
          <w:szCs w:val="30"/>
        </w:rPr>
        <w:t>、 主要时间节点</w:t>
      </w:r>
    </w:p>
    <w:p w:rsidR="0061288E" w:rsidRPr="00D20861" w:rsidRDefault="0061288E" w:rsidP="00193B63">
      <w:pPr>
        <w:spacing w:line="360" w:lineRule="auto"/>
        <w:ind w:firstLineChars="200" w:firstLine="480"/>
        <w:jc w:val="left"/>
        <w:rPr>
          <w:rFonts w:asciiTheme="minorEastAsia" w:hAnsiTheme="minorEastAsia"/>
          <w:sz w:val="24"/>
          <w:szCs w:val="24"/>
        </w:rPr>
      </w:pPr>
      <w:r w:rsidRPr="00D20861">
        <w:rPr>
          <w:rFonts w:asciiTheme="minorEastAsia" w:hAnsiTheme="minorEastAsia" w:hint="eastAsia"/>
          <w:sz w:val="24"/>
          <w:szCs w:val="24"/>
        </w:rPr>
        <w:t>申请者应在</w:t>
      </w:r>
      <w:r w:rsidR="00DB771F" w:rsidRPr="00D20861">
        <w:rPr>
          <w:rFonts w:asciiTheme="minorEastAsia" w:hAnsiTheme="minorEastAsia" w:hint="eastAsia"/>
          <w:sz w:val="24"/>
          <w:szCs w:val="24"/>
        </w:rPr>
        <w:t>20</w:t>
      </w:r>
      <w:r w:rsidR="00193B63">
        <w:rPr>
          <w:rFonts w:asciiTheme="minorEastAsia" w:hAnsiTheme="minorEastAsia" w:hint="eastAsia"/>
          <w:sz w:val="24"/>
          <w:szCs w:val="24"/>
        </w:rPr>
        <w:t>17</w:t>
      </w:r>
      <w:r w:rsidR="00DB771F" w:rsidRPr="00D20861">
        <w:rPr>
          <w:rFonts w:asciiTheme="minorEastAsia" w:hAnsiTheme="minorEastAsia" w:hint="eastAsia"/>
          <w:sz w:val="24"/>
          <w:szCs w:val="24"/>
        </w:rPr>
        <w:t>年</w:t>
      </w:r>
      <w:r w:rsidR="00193B63">
        <w:rPr>
          <w:rFonts w:asciiTheme="minorEastAsia" w:hAnsiTheme="minorEastAsia" w:hint="eastAsia"/>
          <w:sz w:val="24"/>
          <w:szCs w:val="24"/>
        </w:rPr>
        <w:t>3</w:t>
      </w:r>
      <w:r w:rsidR="00DB771F" w:rsidRPr="00D20861">
        <w:rPr>
          <w:rFonts w:asciiTheme="minorEastAsia" w:hAnsiTheme="minorEastAsia" w:hint="eastAsia"/>
          <w:sz w:val="24"/>
          <w:szCs w:val="24"/>
        </w:rPr>
        <w:t>月</w:t>
      </w:r>
      <w:r w:rsidR="00BE3D54">
        <w:rPr>
          <w:rFonts w:asciiTheme="minorEastAsia" w:hAnsiTheme="minorEastAsia"/>
          <w:sz w:val="24"/>
          <w:szCs w:val="24"/>
        </w:rPr>
        <w:t>20</w:t>
      </w:r>
      <w:r w:rsidR="00DB771F" w:rsidRPr="00D20861">
        <w:rPr>
          <w:rFonts w:asciiTheme="minorEastAsia" w:hAnsiTheme="minorEastAsia" w:hint="eastAsia"/>
          <w:sz w:val="24"/>
          <w:szCs w:val="24"/>
        </w:rPr>
        <w:t>日</w:t>
      </w:r>
      <w:r w:rsidR="00193B63">
        <w:rPr>
          <w:rFonts w:asciiTheme="minorEastAsia" w:hAnsiTheme="minorEastAsia" w:hint="eastAsia"/>
          <w:sz w:val="24"/>
          <w:szCs w:val="24"/>
        </w:rPr>
        <w:t>17:00</w:t>
      </w:r>
      <w:r w:rsidRPr="00D20861">
        <w:rPr>
          <w:rFonts w:asciiTheme="minorEastAsia" w:hAnsiTheme="minorEastAsia" w:hint="eastAsia"/>
          <w:sz w:val="24"/>
          <w:szCs w:val="24"/>
        </w:rPr>
        <w:t>以前将《课题申请书》一式</w:t>
      </w:r>
      <w:r w:rsidR="00DB771F">
        <w:rPr>
          <w:rFonts w:asciiTheme="minorEastAsia" w:hAnsiTheme="minorEastAsia" w:hint="eastAsia"/>
          <w:sz w:val="24"/>
          <w:szCs w:val="24"/>
        </w:rPr>
        <w:t>4</w:t>
      </w:r>
      <w:r w:rsidRPr="00D20861">
        <w:rPr>
          <w:rFonts w:asciiTheme="minorEastAsia" w:hAnsiTheme="minorEastAsia" w:hint="eastAsia"/>
          <w:sz w:val="24"/>
          <w:szCs w:val="24"/>
        </w:rPr>
        <w:t>份（加盖</w:t>
      </w:r>
      <w:r w:rsidR="00193B63">
        <w:rPr>
          <w:rFonts w:asciiTheme="minorEastAsia" w:hAnsiTheme="minorEastAsia" w:hint="eastAsia"/>
          <w:sz w:val="24"/>
          <w:szCs w:val="24"/>
        </w:rPr>
        <w:t>单位</w:t>
      </w:r>
      <w:r w:rsidRPr="00D20861">
        <w:rPr>
          <w:rFonts w:asciiTheme="minorEastAsia" w:hAnsiTheme="minorEastAsia" w:hint="eastAsia"/>
          <w:sz w:val="24"/>
          <w:szCs w:val="24"/>
        </w:rPr>
        <w:t>公章的原件）送达（或邮寄到）</w:t>
      </w:r>
      <w:r w:rsidR="00DB771F" w:rsidRPr="00DB771F">
        <w:rPr>
          <w:rFonts w:asciiTheme="minorEastAsia" w:hAnsiTheme="minorEastAsia" w:hint="eastAsia"/>
          <w:sz w:val="24"/>
          <w:szCs w:val="24"/>
        </w:rPr>
        <w:t>动车组和机车牵引与控制国家重点实验室</w:t>
      </w:r>
      <w:r w:rsidR="0085409C">
        <w:rPr>
          <w:rFonts w:asciiTheme="minorEastAsia" w:hAnsiTheme="minorEastAsia" w:hint="eastAsia"/>
          <w:sz w:val="24"/>
          <w:szCs w:val="24"/>
        </w:rPr>
        <w:t>秘书处</w:t>
      </w:r>
      <w:r w:rsidRPr="00D20861">
        <w:rPr>
          <w:rFonts w:asciiTheme="minorEastAsia" w:hAnsiTheme="minorEastAsia" w:hint="eastAsia"/>
          <w:sz w:val="24"/>
          <w:szCs w:val="24"/>
        </w:rPr>
        <w:t>。申请书装入</w:t>
      </w:r>
      <w:r w:rsidR="00193B63">
        <w:rPr>
          <w:rFonts w:asciiTheme="minorEastAsia" w:hAnsiTheme="minorEastAsia" w:hint="eastAsia"/>
          <w:sz w:val="24"/>
          <w:szCs w:val="24"/>
        </w:rPr>
        <w:t>一个封套内，并在封口处加盖投标人公章加以密封。封套正面按申请书</w:t>
      </w:r>
      <w:r w:rsidRPr="00D20861">
        <w:rPr>
          <w:rFonts w:asciiTheme="minorEastAsia" w:hAnsiTheme="minorEastAsia" w:hint="eastAsia"/>
          <w:sz w:val="24"/>
          <w:szCs w:val="24"/>
        </w:rPr>
        <w:t>封面填写有关内容。</w:t>
      </w:r>
    </w:p>
    <w:p w:rsidR="0061288E" w:rsidRPr="00446431" w:rsidRDefault="00BE3D54" w:rsidP="00446431">
      <w:pPr>
        <w:spacing w:beforeLines="50" w:before="156" w:afterLines="50" w:after="156" w:line="360" w:lineRule="auto"/>
        <w:jc w:val="left"/>
        <w:rPr>
          <w:rFonts w:ascii="黑体" w:eastAsia="黑体" w:hAnsi="黑体"/>
          <w:sz w:val="30"/>
          <w:szCs w:val="30"/>
        </w:rPr>
      </w:pPr>
      <w:r w:rsidRPr="00446431">
        <w:rPr>
          <w:rFonts w:ascii="黑体" w:eastAsia="黑体" w:hAnsi="黑体" w:hint="eastAsia"/>
          <w:sz w:val="30"/>
          <w:szCs w:val="30"/>
        </w:rPr>
        <w:t>四</w:t>
      </w:r>
      <w:r w:rsidR="0061288E" w:rsidRPr="00446431">
        <w:rPr>
          <w:rFonts w:ascii="黑体" w:eastAsia="黑体" w:hAnsi="黑体" w:hint="eastAsia"/>
          <w:sz w:val="30"/>
          <w:szCs w:val="30"/>
        </w:rPr>
        <w:t>、</w:t>
      </w:r>
      <w:r w:rsidR="0085409C" w:rsidRPr="00446431">
        <w:rPr>
          <w:rFonts w:ascii="黑体" w:eastAsia="黑体" w:hAnsi="黑体" w:hint="eastAsia"/>
          <w:sz w:val="30"/>
          <w:szCs w:val="30"/>
        </w:rPr>
        <w:t>实验室秘书处</w:t>
      </w:r>
      <w:r w:rsidR="0061288E" w:rsidRPr="00446431">
        <w:rPr>
          <w:rFonts w:ascii="黑体" w:eastAsia="黑体" w:hAnsi="黑体" w:hint="eastAsia"/>
          <w:sz w:val="30"/>
          <w:szCs w:val="30"/>
        </w:rPr>
        <w:t>联系方式</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地  址： </w:t>
      </w:r>
      <w:r w:rsidR="002A1A19">
        <w:rPr>
          <w:rFonts w:asciiTheme="minorEastAsia" w:hAnsiTheme="minorEastAsia" w:hint="eastAsia"/>
          <w:sz w:val="24"/>
          <w:szCs w:val="24"/>
        </w:rPr>
        <w:t>北京市海淀区大柳树路2号机辆所312</w:t>
      </w:r>
      <w:r w:rsidR="00446431">
        <w:rPr>
          <w:rFonts w:asciiTheme="minorEastAsia" w:hAnsiTheme="minorEastAsia" w:hint="eastAsia"/>
          <w:sz w:val="24"/>
          <w:szCs w:val="24"/>
        </w:rPr>
        <w:t>房间</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邮  编：1000</w:t>
      </w:r>
      <w:r w:rsidR="00DB771F">
        <w:rPr>
          <w:rFonts w:asciiTheme="minorEastAsia" w:hAnsiTheme="minorEastAsia" w:hint="eastAsia"/>
          <w:sz w:val="24"/>
          <w:szCs w:val="24"/>
        </w:rPr>
        <w:t>81</w:t>
      </w:r>
    </w:p>
    <w:p w:rsidR="0061288E" w:rsidRPr="00D20861"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传  真：</w:t>
      </w:r>
      <w:r w:rsidR="002A1A19">
        <w:rPr>
          <w:rFonts w:asciiTheme="minorEastAsia" w:hAnsiTheme="minorEastAsia" w:hint="eastAsia"/>
          <w:sz w:val="24"/>
          <w:szCs w:val="24"/>
        </w:rPr>
        <w:t>010-51849263</w:t>
      </w:r>
    </w:p>
    <w:p w:rsidR="0061288E" w:rsidRDefault="0061288E" w:rsidP="00D20861">
      <w:pPr>
        <w:spacing w:line="360" w:lineRule="auto"/>
        <w:jc w:val="left"/>
        <w:rPr>
          <w:rFonts w:asciiTheme="minorEastAsia" w:hAnsiTheme="minorEastAsia"/>
          <w:sz w:val="24"/>
          <w:szCs w:val="24"/>
        </w:rPr>
      </w:pPr>
      <w:r w:rsidRPr="00D20861">
        <w:rPr>
          <w:rFonts w:asciiTheme="minorEastAsia" w:hAnsiTheme="minorEastAsia" w:hint="eastAsia"/>
          <w:sz w:val="24"/>
          <w:szCs w:val="24"/>
        </w:rPr>
        <w:t xml:space="preserve">　　联系人：</w:t>
      </w:r>
      <w:r w:rsidR="00193B63">
        <w:rPr>
          <w:rFonts w:asciiTheme="minorEastAsia" w:hAnsiTheme="minorEastAsia" w:hint="eastAsia"/>
          <w:sz w:val="24"/>
          <w:szCs w:val="24"/>
        </w:rPr>
        <w:t>刘爽</w:t>
      </w:r>
      <w:r w:rsidR="002A1A19">
        <w:rPr>
          <w:rFonts w:asciiTheme="minorEastAsia" w:hAnsiTheme="minorEastAsia" w:hint="eastAsia"/>
          <w:sz w:val="24"/>
          <w:szCs w:val="24"/>
        </w:rPr>
        <w:t xml:space="preserve"> 010-51849</w:t>
      </w:r>
      <w:r w:rsidR="00802664">
        <w:rPr>
          <w:rFonts w:asciiTheme="minorEastAsia" w:hAnsiTheme="minorEastAsia"/>
          <w:sz w:val="24"/>
          <w:szCs w:val="24"/>
        </w:rPr>
        <w:t>32</w:t>
      </w:r>
      <w:r w:rsidR="00193B63">
        <w:rPr>
          <w:rFonts w:asciiTheme="minorEastAsia" w:hAnsiTheme="minorEastAsia" w:hint="eastAsia"/>
          <w:sz w:val="24"/>
          <w:szCs w:val="24"/>
        </w:rPr>
        <w:t>3</w:t>
      </w:r>
      <w:r w:rsidR="00F35A10">
        <w:rPr>
          <w:rFonts w:asciiTheme="minorEastAsia" w:hAnsiTheme="minorEastAsia" w:hint="eastAsia"/>
          <w:sz w:val="24"/>
          <w:szCs w:val="24"/>
        </w:rPr>
        <w:t xml:space="preserve">        宋冠群 010-51849363</w:t>
      </w:r>
    </w:p>
    <w:p w:rsidR="0061288E" w:rsidRPr="00F35A10" w:rsidRDefault="0061288E" w:rsidP="00D20861">
      <w:pPr>
        <w:spacing w:line="360" w:lineRule="auto"/>
        <w:jc w:val="left"/>
        <w:rPr>
          <w:rFonts w:asciiTheme="minorEastAsia" w:hAnsiTheme="minorEastAsia"/>
          <w:sz w:val="24"/>
          <w:szCs w:val="24"/>
        </w:rPr>
      </w:pPr>
    </w:p>
    <w:p w:rsidR="0061288E" w:rsidRPr="00D20861" w:rsidRDefault="0061288E" w:rsidP="00D20861">
      <w:pPr>
        <w:spacing w:line="360" w:lineRule="auto"/>
        <w:jc w:val="left"/>
        <w:rPr>
          <w:rFonts w:asciiTheme="minorEastAsia" w:hAnsiTheme="minorEastAsia"/>
          <w:sz w:val="24"/>
          <w:szCs w:val="24"/>
        </w:rPr>
      </w:pPr>
    </w:p>
    <w:p w:rsidR="00471502" w:rsidRPr="00D20861" w:rsidRDefault="00471502" w:rsidP="00D20861">
      <w:pPr>
        <w:spacing w:line="360" w:lineRule="auto"/>
        <w:jc w:val="left"/>
        <w:rPr>
          <w:rFonts w:asciiTheme="minorEastAsia" w:hAnsiTheme="minorEastAsia"/>
          <w:sz w:val="24"/>
          <w:szCs w:val="24"/>
        </w:rPr>
      </w:pPr>
    </w:p>
    <w:sectPr w:rsidR="00471502" w:rsidRPr="00D20861" w:rsidSect="00BE3D54">
      <w:pgSz w:w="11906" w:h="16838" w:code="9"/>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18" w:rsidRDefault="001C0D18" w:rsidP="002A1A19">
      <w:r>
        <w:separator/>
      </w:r>
    </w:p>
  </w:endnote>
  <w:endnote w:type="continuationSeparator" w:id="0">
    <w:p w:rsidR="001C0D18" w:rsidRDefault="001C0D18" w:rsidP="002A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18" w:rsidRDefault="001C0D18" w:rsidP="002A1A19">
      <w:r>
        <w:separator/>
      </w:r>
    </w:p>
  </w:footnote>
  <w:footnote w:type="continuationSeparator" w:id="0">
    <w:p w:rsidR="001C0D18" w:rsidRDefault="001C0D18" w:rsidP="002A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311"/>
    <w:multiLevelType w:val="hybridMultilevel"/>
    <w:tmpl w:val="B4F01196"/>
    <w:lvl w:ilvl="0" w:tplc="97EA8E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88E"/>
    <w:rsid w:val="000379B8"/>
    <w:rsid w:val="00044398"/>
    <w:rsid w:val="00072AC1"/>
    <w:rsid w:val="00093606"/>
    <w:rsid w:val="00151331"/>
    <w:rsid w:val="00154E0E"/>
    <w:rsid w:val="00167166"/>
    <w:rsid w:val="00193B63"/>
    <w:rsid w:val="001C0D18"/>
    <w:rsid w:val="00253207"/>
    <w:rsid w:val="00260BEE"/>
    <w:rsid w:val="002A1A19"/>
    <w:rsid w:val="002C5D67"/>
    <w:rsid w:val="002D7A8D"/>
    <w:rsid w:val="00303B12"/>
    <w:rsid w:val="00343BC6"/>
    <w:rsid w:val="0035338D"/>
    <w:rsid w:val="003A2407"/>
    <w:rsid w:val="003B52E2"/>
    <w:rsid w:val="003D2554"/>
    <w:rsid w:val="003D48AB"/>
    <w:rsid w:val="003E3523"/>
    <w:rsid w:val="003F00BF"/>
    <w:rsid w:val="00403E30"/>
    <w:rsid w:val="00446431"/>
    <w:rsid w:val="00471502"/>
    <w:rsid w:val="004F57D7"/>
    <w:rsid w:val="0050621A"/>
    <w:rsid w:val="00514AB5"/>
    <w:rsid w:val="005568A3"/>
    <w:rsid w:val="00561A3D"/>
    <w:rsid w:val="005E3AC1"/>
    <w:rsid w:val="0061288E"/>
    <w:rsid w:val="00613997"/>
    <w:rsid w:val="006522A5"/>
    <w:rsid w:val="006532CB"/>
    <w:rsid w:val="00676C5B"/>
    <w:rsid w:val="006C1FC3"/>
    <w:rsid w:val="006D42CE"/>
    <w:rsid w:val="007110C6"/>
    <w:rsid w:val="0074008F"/>
    <w:rsid w:val="007973D9"/>
    <w:rsid w:val="007A10E0"/>
    <w:rsid w:val="007A2F91"/>
    <w:rsid w:val="007B43F5"/>
    <w:rsid w:val="007D5CBF"/>
    <w:rsid w:val="007E450D"/>
    <w:rsid w:val="007F1855"/>
    <w:rsid w:val="00802664"/>
    <w:rsid w:val="00820CBB"/>
    <w:rsid w:val="00821F95"/>
    <w:rsid w:val="0085409C"/>
    <w:rsid w:val="00872931"/>
    <w:rsid w:val="008C36DB"/>
    <w:rsid w:val="009677A3"/>
    <w:rsid w:val="009E73D8"/>
    <w:rsid w:val="00A4583E"/>
    <w:rsid w:val="00AB5A3D"/>
    <w:rsid w:val="00AD591E"/>
    <w:rsid w:val="00AE58DD"/>
    <w:rsid w:val="00B80333"/>
    <w:rsid w:val="00BA3157"/>
    <w:rsid w:val="00BC5866"/>
    <w:rsid w:val="00BE3D54"/>
    <w:rsid w:val="00BE7F10"/>
    <w:rsid w:val="00C2125D"/>
    <w:rsid w:val="00C3050C"/>
    <w:rsid w:val="00C3621E"/>
    <w:rsid w:val="00CB7B22"/>
    <w:rsid w:val="00D20861"/>
    <w:rsid w:val="00D42B03"/>
    <w:rsid w:val="00D65746"/>
    <w:rsid w:val="00D87EFE"/>
    <w:rsid w:val="00D90582"/>
    <w:rsid w:val="00DB2A79"/>
    <w:rsid w:val="00DB771F"/>
    <w:rsid w:val="00DD54D6"/>
    <w:rsid w:val="00E00D3E"/>
    <w:rsid w:val="00E05388"/>
    <w:rsid w:val="00EE01CE"/>
    <w:rsid w:val="00F2756A"/>
    <w:rsid w:val="00F35A10"/>
    <w:rsid w:val="00F647F7"/>
    <w:rsid w:val="00F97B6E"/>
    <w:rsid w:val="00FD319B"/>
    <w:rsid w:val="00FF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39CA3"/>
  <w15:docId w15:val="{21C54471-D67A-47F2-B538-8BD606DB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5338D"/>
    <w:pPr>
      <w:widowControl w:val="0"/>
    </w:pPr>
    <w:rPr>
      <w:kern w:val="2"/>
      <w:sz w:val="21"/>
      <w:lang w:eastAsia="zh-CN" w:bidi="ar-SA"/>
    </w:rPr>
  </w:style>
  <w:style w:type="paragraph" w:styleId="1">
    <w:name w:val="heading 1"/>
    <w:basedOn w:val="a"/>
    <w:next w:val="a"/>
    <w:link w:val="10"/>
    <w:uiPriority w:val="9"/>
    <w:qFormat/>
    <w:rsid w:val="00FF72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F72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F72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72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F721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F721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F721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F721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F72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21B"/>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semiHidden/>
    <w:rsid w:val="00FF721B"/>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FF721B"/>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FF721B"/>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FF721B"/>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FF721B"/>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FF721B"/>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FF721B"/>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FF721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F721B"/>
    <w:rPr>
      <w:b/>
      <w:bCs/>
      <w:color w:val="4F81BD" w:themeColor="accent1"/>
      <w:sz w:val="18"/>
      <w:szCs w:val="18"/>
    </w:rPr>
  </w:style>
  <w:style w:type="paragraph" w:styleId="a4">
    <w:name w:val="Title"/>
    <w:basedOn w:val="a"/>
    <w:next w:val="a"/>
    <w:link w:val="a5"/>
    <w:uiPriority w:val="10"/>
    <w:qFormat/>
    <w:rsid w:val="00FF7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标题 字符"/>
    <w:basedOn w:val="a0"/>
    <w:link w:val="a4"/>
    <w:uiPriority w:val="10"/>
    <w:rsid w:val="00FF721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F721B"/>
    <w:pPr>
      <w:numPr>
        <w:ilvl w:val="1"/>
      </w:numPr>
      <w:ind w:left="431" w:hanging="431"/>
    </w:pPr>
    <w:rPr>
      <w:rFonts w:asciiTheme="majorHAnsi" w:eastAsiaTheme="majorEastAsia" w:hAnsiTheme="majorHAnsi" w:cstheme="majorBidi"/>
      <w:i/>
      <w:iCs/>
      <w:color w:val="4F81BD" w:themeColor="accent1"/>
      <w:spacing w:val="15"/>
      <w:sz w:val="24"/>
      <w:szCs w:val="24"/>
    </w:rPr>
  </w:style>
  <w:style w:type="character" w:customStyle="1" w:styleId="a7">
    <w:name w:val="副标题 字符"/>
    <w:basedOn w:val="a0"/>
    <w:link w:val="a6"/>
    <w:uiPriority w:val="11"/>
    <w:rsid w:val="00FF721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F721B"/>
    <w:rPr>
      <w:b/>
      <w:bCs/>
    </w:rPr>
  </w:style>
  <w:style w:type="character" w:styleId="a9">
    <w:name w:val="Emphasis"/>
    <w:basedOn w:val="a0"/>
    <w:uiPriority w:val="20"/>
    <w:qFormat/>
    <w:rsid w:val="00FF721B"/>
    <w:rPr>
      <w:i/>
      <w:iCs/>
    </w:rPr>
  </w:style>
  <w:style w:type="paragraph" w:styleId="aa">
    <w:name w:val="No Spacing"/>
    <w:uiPriority w:val="1"/>
    <w:qFormat/>
    <w:rsid w:val="00FF721B"/>
  </w:style>
  <w:style w:type="paragraph" w:styleId="ab">
    <w:name w:val="List Paragraph"/>
    <w:basedOn w:val="a"/>
    <w:uiPriority w:val="34"/>
    <w:qFormat/>
    <w:rsid w:val="00FF721B"/>
    <w:pPr>
      <w:ind w:left="720"/>
      <w:contextualSpacing/>
    </w:pPr>
  </w:style>
  <w:style w:type="paragraph" w:styleId="ac">
    <w:name w:val="Quote"/>
    <w:basedOn w:val="a"/>
    <w:next w:val="a"/>
    <w:link w:val="ad"/>
    <w:uiPriority w:val="29"/>
    <w:qFormat/>
    <w:rsid w:val="00FF721B"/>
    <w:rPr>
      <w:i/>
      <w:iCs/>
      <w:color w:val="000000" w:themeColor="text1"/>
    </w:rPr>
  </w:style>
  <w:style w:type="character" w:customStyle="1" w:styleId="ad">
    <w:name w:val="引用 字符"/>
    <w:basedOn w:val="a0"/>
    <w:link w:val="ac"/>
    <w:uiPriority w:val="29"/>
    <w:rsid w:val="00FF721B"/>
    <w:rPr>
      <w:i/>
      <w:iCs/>
      <w:color w:val="000000" w:themeColor="text1"/>
    </w:rPr>
  </w:style>
  <w:style w:type="paragraph" w:styleId="ae">
    <w:name w:val="Intense Quote"/>
    <w:basedOn w:val="a"/>
    <w:next w:val="a"/>
    <w:link w:val="af"/>
    <w:uiPriority w:val="30"/>
    <w:qFormat/>
    <w:rsid w:val="00FF721B"/>
    <w:pPr>
      <w:pBdr>
        <w:bottom w:val="single" w:sz="4" w:space="4" w:color="4F81BD" w:themeColor="accent1"/>
      </w:pBdr>
      <w:spacing w:before="200" w:after="280"/>
      <w:ind w:left="936" w:right="936"/>
    </w:pPr>
    <w:rPr>
      <w:b/>
      <w:bCs/>
      <w:i/>
      <w:iCs/>
      <w:color w:val="4F81BD" w:themeColor="accent1"/>
    </w:rPr>
  </w:style>
  <w:style w:type="character" w:customStyle="1" w:styleId="af">
    <w:name w:val="明显引用 字符"/>
    <w:basedOn w:val="a0"/>
    <w:link w:val="ae"/>
    <w:uiPriority w:val="30"/>
    <w:rsid w:val="00FF721B"/>
    <w:rPr>
      <w:b/>
      <w:bCs/>
      <w:i/>
      <w:iCs/>
      <w:color w:val="4F81BD" w:themeColor="accent1"/>
    </w:rPr>
  </w:style>
  <w:style w:type="character" w:styleId="af0">
    <w:name w:val="Subtle Emphasis"/>
    <w:basedOn w:val="a0"/>
    <w:uiPriority w:val="19"/>
    <w:qFormat/>
    <w:rsid w:val="00FF721B"/>
    <w:rPr>
      <w:i/>
      <w:iCs/>
      <w:color w:val="808080" w:themeColor="text1" w:themeTint="7F"/>
    </w:rPr>
  </w:style>
  <w:style w:type="character" w:styleId="af1">
    <w:name w:val="Intense Emphasis"/>
    <w:basedOn w:val="a0"/>
    <w:uiPriority w:val="21"/>
    <w:qFormat/>
    <w:rsid w:val="00FF721B"/>
    <w:rPr>
      <w:b/>
      <w:bCs/>
      <w:i/>
      <w:iCs/>
      <w:color w:val="4F81BD" w:themeColor="accent1"/>
    </w:rPr>
  </w:style>
  <w:style w:type="character" w:styleId="af2">
    <w:name w:val="Subtle Reference"/>
    <w:basedOn w:val="a0"/>
    <w:uiPriority w:val="31"/>
    <w:qFormat/>
    <w:rsid w:val="00FF721B"/>
    <w:rPr>
      <w:smallCaps/>
      <w:color w:val="C0504D" w:themeColor="accent2"/>
      <w:u w:val="single"/>
    </w:rPr>
  </w:style>
  <w:style w:type="character" w:styleId="af3">
    <w:name w:val="Intense Reference"/>
    <w:basedOn w:val="a0"/>
    <w:uiPriority w:val="32"/>
    <w:qFormat/>
    <w:rsid w:val="00FF721B"/>
    <w:rPr>
      <w:b/>
      <w:bCs/>
      <w:smallCaps/>
      <w:color w:val="C0504D" w:themeColor="accent2"/>
      <w:spacing w:val="5"/>
      <w:u w:val="single"/>
    </w:rPr>
  </w:style>
  <w:style w:type="character" w:styleId="af4">
    <w:name w:val="Book Title"/>
    <w:basedOn w:val="a0"/>
    <w:uiPriority w:val="33"/>
    <w:qFormat/>
    <w:rsid w:val="00FF721B"/>
    <w:rPr>
      <w:b/>
      <w:bCs/>
      <w:smallCaps/>
      <w:spacing w:val="5"/>
    </w:rPr>
  </w:style>
  <w:style w:type="paragraph" w:styleId="TOC">
    <w:name w:val="TOC Heading"/>
    <w:basedOn w:val="1"/>
    <w:next w:val="a"/>
    <w:uiPriority w:val="39"/>
    <w:semiHidden/>
    <w:unhideWhenUsed/>
    <w:qFormat/>
    <w:rsid w:val="00FF721B"/>
    <w:pPr>
      <w:outlineLvl w:val="9"/>
    </w:pPr>
  </w:style>
  <w:style w:type="paragraph" w:styleId="af5">
    <w:name w:val="header"/>
    <w:basedOn w:val="a"/>
    <w:link w:val="af6"/>
    <w:uiPriority w:val="99"/>
    <w:unhideWhenUsed/>
    <w:rsid w:val="002A1A19"/>
    <w:pPr>
      <w:pBdr>
        <w:bottom w:val="single" w:sz="6" w:space="1" w:color="auto"/>
      </w:pBdr>
      <w:tabs>
        <w:tab w:val="center" w:pos="4153"/>
        <w:tab w:val="right" w:pos="8306"/>
      </w:tabs>
      <w:snapToGrid w:val="0"/>
    </w:pPr>
    <w:rPr>
      <w:sz w:val="18"/>
      <w:szCs w:val="18"/>
    </w:rPr>
  </w:style>
  <w:style w:type="character" w:customStyle="1" w:styleId="af6">
    <w:name w:val="页眉 字符"/>
    <w:basedOn w:val="a0"/>
    <w:link w:val="af5"/>
    <w:uiPriority w:val="99"/>
    <w:rsid w:val="002A1A19"/>
    <w:rPr>
      <w:kern w:val="2"/>
      <w:sz w:val="18"/>
      <w:szCs w:val="18"/>
      <w:lang w:eastAsia="zh-CN" w:bidi="ar-SA"/>
    </w:rPr>
  </w:style>
  <w:style w:type="paragraph" w:styleId="af7">
    <w:name w:val="footer"/>
    <w:basedOn w:val="a"/>
    <w:link w:val="af8"/>
    <w:uiPriority w:val="99"/>
    <w:unhideWhenUsed/>
    <w:rsid w:val="002A1A19"/>
    <w:pPr>
      <w:tabs>
        <w:tab w:val="center" w:pos="4153"/>
        <w:tab w:val="right" w:pos="8306"/>
      </w:tabs>
      <w:snapToGrid w:val="0"/>
      <w:jc w:val="left"/>
    </w:pPr>
    <w:rPr>
      <w:sz w:val="18"/>
      <w:szCs w:val="18"/>
    </w:rPr>
  </w:style>
  <w:style w:type="character" w:customStyle="1" w:styleId="af8">
    <w:name w:val="页脚 字符"/>
    <w:basedOn w:val="a0"/>
    <w:link w:val="af7"/>
    <w:uiPriority w:val="99"/>
    <w:rsid w:val="002A1A19"/>
    <w:rPr>
      <w:kern w:val="2"/>
      <w:sz w:val="18"/>
      <w:szCs w:val="18"/>
      <w:lang w:eastAsia="zh-CN" w:bidi="ar-SA"/>
    </w:rPr>
  </w:style>
  <w:style w:type="table" w:styleId="af9">
    <w:name w:val="Table Grid"/>
    <w:basedOn w:val="a1"/>
    <w:uiPriority w:val="59"/>
    <w:rsid w:val="00854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446431"/>
    <w:rPr>
      <w:sz w:val="18"/>
      <w:szCs w:val="18"/>
    </w:rPr>
  </w:style>
  <w:style w:type="character" w:customStyle="1" w:styleId="afb">
    <w:name w:val="批注框文本 字符"/>
    <w:basedOn w:val="a0"/>
    <w:link w:val="afa"/>
    <w:uiPriority w:val="99"/>
    <w:semiHidden/>
    <w:rsid w:val="00446431"/>
    <w:rPr>
      <w:kern w:val="2"/>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60790">
      <w:bodyDiv w:val="1"/>
      <w:marLeft w:val="0"/>
      <w:marRight w:val="0"/>
      <w:marTop w:val="0"/>
      <w:marBottom w:val="0"/>
      <w:divBdr>
        <w:top w:val="none" w:sz="0" w:space="0" w:color="auto"/>
        <w:left w:val="none" w:sz="0" w:space="0" w:color="auto"/>
        <w:bottom w:val="none" w:sz="0" w:space="0" w:color="auto"/>
        <w:right w:val="none" w:sz="0" w:space="0" w:color="auto"/>
      </w:divBdr>
    </w:div>
    <w:div w:id="709955277">
      <w:bodyDiv w:val="1"/>
      <w:marLeft w:val="0"/>
      <w:marRight w:val="0"/>
      <w:marTop w:val="0"/>
      <w:marBottom w:val="0"/>
      <w:divBdr>
        <w:top w:val="none" w:sz="0" w:space="0" w:color="auto"/>
        <w:left w:val="none" w:sz="0" w:space="0" w:color="auto"/>
        <w:bottom w:val="none" w:sz="0" w:space="0" w:color="auto"/>
        <w:right w:val="none" w:sz="0" w:space="0" w:color="auto"/>
      </w:divBdr>
    </w:div>
    <w:div w:id="723261961">
      <w:bodyDiv w:val="1"/>
      <w:marLeft w:val="0"/>
      <w:marRight w:val="0"/>
      <w:marTop w:val="0"/>
      <w:marBottom w:val="0"/>
      <w:divBdr>
        <w:top w:val="none" w:sz="0" w:space="0" w:color="auto"/>
        <w:left w:val="none" w:sz="0" w:space="0" w:color="auto"/>
        <w:bottom w:val="none" w:sz="0" w:space="0" w:color="auto"/>
        <w:right w:val="none" w:sz="0" w:space="0" w:color="auto"/>
      </w:divBdr>
    </w:div>
    <w:div w:id="1823961299">
      <w:bodyDiv w:val="1"/>
      <w:marLeft w:val="0"/>
      <w:marRight w:val="0"/>
      <w:marTop w:val="0"/>
      <w:marBottom w:val="0"/>
      <w:divBdr>
        <w:top w:val="none" w:sz="0" w:space="0" w:color="auto"/>
        <w:left w:val="none" w:sz="0" w:space="0" w:color="auto"/>
        <w:bottom w:val="none" w:sz="0" w:space="0" w:color="auto"/>
        <w:right w:val="none" w:sz="0" w:space="0" w:color="auto"/>
      </w:divBdr>
    </w:div>
    <w:div w:id="2058046787">
      <w:bodyDiv w:val="1"/>
      <w:marLeft w:val="0"/>
      <w:marRight w:val="0"/>
      <w:marTop w:val="0"/>
      <w:marBottom w:val="0"/>
      <w:divBdr>
        <w:top w:val="none" w:sz="0" w:space="0" w:color="auto"/>
        <w:left w:val="none" w:sz="0" w:space="0" w:color="auto"/>
        <w:bottom w:val="none" w:sz="0" w:space="0" w:color="auto"/>
        <w:right w:val="none" w:sz="0" w:space="0" w:color="auto"/>
      </w:divBdr>
    </w:div>
    <w:div w:id="20602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未定义</cp:lastModifiedBy>
  <cp:revision>18</cp:revision>
  <cp:lastPrinted>2017-03-03T00:48:00Z</cp:lastPrinted>
  <dcterms:created xsi:type="dcterms:W3CDTF">2017-02-24T12:13:00Z</dcterms:created>
  <dcterms:modified xsi:type="dcterms:W3CDTF">2017-03-03T03:35:00Z</dcterms:modified>
</cp:coreProperties>
</file>